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953"/>
        <w:gridCol w:w="1080"/>
        <w:gridCol w:w="760"/>
        <w:gridCol w:w="1000"/>
        <w:gridCol w:w="1880"/>
        <w:gridCol w:w="620"/>
        <w:gridCol w:w="240"/>
        <w:gridCol w:w="1260"/>
        <w:gridCol w:w="1620"/>
      </w:tblGrid>
      <w:tr w:rsidR="008E2BCD" w:rsidRPr="008E2BCD" w:rsidTr="00E845E1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Default="008E2BCD">
            <w:pPr>
              <w:jc w:val="center"/>
              <w:rPr>
                <w:b/>
                <w:bCs/>
              </w:rPr>
            </w:pPr>
            <w:r w:rsidRPr="008E2BCD">
              <w:rPr>
                <w:b/>
                <w:bCs/>
              </w:rPr>
              <w:t>ПОЯСНИТЕЛЬНАЯ ЗАПИСКА</w:t>
            </w:r>
          </w:p>
          <w:p w:rsidR="002B6A0B" w:rsidRPr="008E2BCD" w:rsidRDefault="002B6A0B" w:rsidP="0077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(Пояснения)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>
            <w:pPr>
              <w:jc w:val="center"/>
            </w:pPr>
            <w:r w:rsidRPr="008E2BCD">
              <w:t>коды</w:t>
            </w:r>
          </w:p>
        </w:tc>
      </w:tr>
      <w:tr w:rsidR="008E2BCD" w:rsidRPr="007B258A" w:rsidTr="00E845E1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E2BCD" w:rsidRDefault="008E2BC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7B258A" w:rsidRDefault="008E2BCD" w:rsidP="008E2BCD">
            <w:pPr>
              <w:ind w:left="-108" w:firstLine="108"/>
              <w:jc w:val="right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 xml:space="preserve">Форма по ОКУД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BCD" w:rsidRPr="007B258A" w:rsidRDefault="008E2BCD">
            <w:pPr>
              <w:jc w:val="center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>0503160</w:t>
            </w:r>
          </w:p>
        </w:tc>
      </w:tr>
      <w:tr w:rsidR="008B3227" w:rsidRPr="007B258A" w:rsidTr="00E845E1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227" w:rsidRPr="008E2BCD" w:rsidRDefault="008B322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227" w:rsidRPr="008E2BCD" w:rsidRDefault="008B3227"/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227" w:rsidRPr="008E2BCD" w:rsidRDefault="008B322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227" w:rsidRPr="008E2BCD" w:rsidRDefault="008B3227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227" w:rsidRPr="008E2BCD" w:rsidRDefault="008B3227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227" w:rsidRPr="008B3227" w:rsidRDefault="008B3227" w:rsidP="00DC7C16">
            <w:pPr>
              <w:jc w:val="center"/>
            </w:pPr>
            <w:r w:rsidRPr="008B3227">
              <w:t xml:space="preserve">на 01 </w:t>
            </w:r>
            <w:r w:rsidR="004156AA">
              <w:t>января</w:t>
            </w:r>
            <w:r w:rsidR="004452A4">
              <w:t xml:space="preserve"> </w:t>
            </w:r>
            <w:r w:rsidR="00B06C1B">
              <w:t xml:space="preserve"> 20</w:t>
            </w:r>
            <w:r w:rsidR="00D670BC">
              <w:t>2</w:t>
            </w:r>
            <w:r w:rsidR="00DC7C16">
              <w:t>4</w:t>
            </w:r>
            <w:r w:rsidRPr="008B3227">
              <w:t>г.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227" w:rsidRPr="008E2BCD" w:rsidRDefault="008B3227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227" w:rsidRPr="008E2BCD" w:rsidRDefault="008B3227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227" w:rsidRPr="007B258A" w:rsidRDefault="008B3227">
            <w:pPr>
              <w:jc w:val="right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 xml:space="preserve">Дата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6AA" w:rsidRPr="007B258A" w:rsidRDefault="00B06C1B" w:rsidP="00DC7C16">
            <w:pPr>
              <w:jc w:val="center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 xml:space="preserve">01 | </w:t>
            </w:r>
            <w:r w:rsidR="004156AA">
              <w:rPr>
                <w:sz w:val="20"/>
                <w:szCs w:val="20"/>
              </w:rPr>
              <w:t>01</w:t>
            </w:r>
            <w:r w:rsidR="008B3227" w:rsidRPr="007B258A">
              <w:rPr>
                <w:sz w:val="20"/>
                <w:szCs w:val="20"/>
              </w:rPr>
              <w:t xml:space="preserve">| </w:t>
            </w:r>
            <w:r w:rsidR="00D670BC">
              <w:rPr>
                <w:sz w:val="20"/>
                <w:szCs w:val="20"/>
              </w:rPr>
              <w:t>2</w:t>
            </w:r>
            <w:r w:rsidR="00DC7C16">
              <w:rPr>
                <w:sz w:val="20"/>
                <w:szCs w:val="20"/>
              </w:rPr>
              <w:t>4</w:t>
            </w:r>
          </w:p>
        </w:tc>
      </w:tr>
      <w:tr w:rsidR="007B258A" w:rsidRPr="007B258A" w:rsidTr="00E845E1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58A" w:rsidRPr="008E2BCD" w:rsidRDefault="007B258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58A" w:rsidRPr="008E2BCD" w:rsidRDefault="007B258A"/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58A" w:rsidRPr="008E2BCD" w:rsidRDefault="007B258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58A" w:rsidRPr="008E2BCD" w:rsidRDefault="007B258A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58A" w:rsidRPr="008E2BCD" w:rsidRDefault="007B258A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58A" w:rsidRPr="008B3227" w:rsidRDefault="007B258A" w:rsidP="008C1656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58A" w:rsidRPr="008E2BCD" w:rsidRDefault="007B258A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58A" w:rsidRPr="008E2BCD" w:rsidRDefault="007B258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58A" w:rsidRPr="007B258A" w:rsidRDefault="007B258A">
            <w:pPr>
              <w:jc w:val="right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 xml:space="preserve">по ОКПО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8A" w:rsidRPr="007B258A" w:rsidRDefault="007B258A" w:rsidP="008C1656">
            <w:pPr>
              <w:jc w:val="center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>46574261</w:t>
            </w:r>
          </w:p>
        </w:tc>
      </w:tr>
      <w:tr w:rsidR="008E2BCD" w:rsidRPr="007B258A" w:rsidTr="00E845E1">
        <w:trPr>
          <w:trHeight w:val="225"/>
        </w:trPr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2BCD" w:rsidRPr="008B3227" w:rsidRDefault="00172786" w:rsidP="00172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E2BCD" w:rsidRPr="008B3227">
              <w:rPr>
                <w:sz w:val="22"/>
                <w:szCs w:val="22"/>
              </w:rPr>
              <w:t>лавный распорядитель</w:t>
            </w:r>
            <w:r>
              <w:rPr>
                <w:sz w:val="22"/>
                <w:szCs w:val="22"/>
              </w:rPr>
              <w:t>,  распорядитель</w:t>
            </w:r>
            <w:r w:rsidR="008E2BCD" w:rsidRPr="008B3227">
              <w:rPr>
                <w:sz w:val="22"/>
                <w:szCs w:val="22"/>
              </w:rPr>
              <w:t>,  получатель</w:t>
            </w:r>
            <w:r>
              <w:rPr>
                <w:sz w:val="22"/>
                <w:szCs w:val="22"/>
              </w:rPr>
              <w:t xml:space="preserve"> бюджетных средств, главный администратор, администратор доходов бюджета, главный администратор, администратор источников финансирования  дефицита бюджета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2BCD" w:rsidRPr="00AA5FE0" w:rsidRDefault="00AA5FE0" w:rsidP="008B3227">
            <w:pPr>
              <w:jc w:val="center"/>
            </w:pPr>
            <w:r w:rsidRPr="00AA5FE0">
              <w:t>Департамент труда и социального развития Администрации города Волгодонска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7B258A" w:rsidRDefault="007B258A">
            <w:pPr>
              <w:jc w:val="right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>Глава по БК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BCD" w:rsidRPr="007B258A" w:rsidRDefault="007B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</w:tr>
      <w:tr w:rsidR="008E2BCD" w:rsidRPr="007B258A" w:rsidTr="00E845E1">
        <w:trPr>
          <w:trHeight w:val="225"/>
        </w:trPr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8B3227" w:rsidRDefault="008E2BCD">
            <w:pPr>
              <w:rPr>
                <w:sz w:val="22"/>
                <w:szCs w:val="22"/>
              </w:rPr>
            </w:pPr>
            <w:r w:rsidRPr="008B3227">
              <w:rPr>
                <w:sz w:val="22"/>
                <w:szCs w:val="22"/>
              </w:rPr>
              <w:t>Наименование бюджета</w:t>
            </w:r>
            <w:r w:rsidR="00172786">
              <w:rPr>
                <w:sz w:val="22"/>
                <w:szCs w:val="22"/>
              </w:rPr>
              <w:t xml:space="preserve"> (публично-правового образования)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2BCD" w:rsidRPr="008E2BCD" w:rsidRDefault="005F6D1C">
            <w:r>
              <w:t>Бюджет города Волгодонска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D" w:rsidRPr="007B258A" w:rsidRDefault="008E2BCD" w:rsidP="008C1656">
            <w:pPr>
              <w:jc w:val="right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>по ОК</w:t>
            </w:r>
            <w:r w:rsidR="008C1656" w:rsidRPr="007B258A">
              <w:rPr>
                <w:sz w:val="20"/>
                <w:szCs w:val="20"/>
              </w:rPr>
              <w:t>ТМО</w:t>
            </w:r>
            <w:r w:rsidRPr="007B258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BCD" w:rsidRPr="007B258A" w:rsidRDefault="008E2BCD" w:rsidP="00344078">
            <w:pPr>
              <w:jc w:val="center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 xml:space="preserve"> </w:t>
            </w:r>
            <w:r w:rsidR="000E44AC" w:rsidRPr="007B258A">
              <w:rPr>
                <w:sz w:val="20"/>
                <w:szCs w:val="20"/>
              </w:rPr>
              <w:t>60</w:t>
            </w:r>
            <w:r w:rsidR="00344078" w:rsidRPr="007B258A">
              <w:rPr>
                <w:sz w:val="20"/>
                <w:szCs w:val="20"/>
              </w:rPr>
              <w:t>7</w:t>
            </w:r>
            <w:r w:rsidR="000E44AC" w:rsidRPr="007B258A">
              <w:rPr>
                <w:sz w:val="20"/>
                <w:szCs w:val="20"/>
              </w:rPr>
              <w:t>12000</w:t>
            </w:r>
          </w:p>
        </w:tc>
      </w:tr>
      <w:tr w:rsidR="00E845E1" w:rsidRPr="007B258A" w:rsidTr="00E845E1">
        <w:trPr>
          <w:trHeight w:val="22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5E1" w:rsidRPr="008B3227" w:rsidRDefault="00E845E1" w:rsidP="00172786">
            <w:pPr>
              <w:rPr>
                <w:sz w:val="22"/>
                <w:szCs w:val="22"/>
              </w:rPr>
            </w:pPr>
            <w:r w:rsidRPr="008B3227">
              <w:rPr>
                <w:sz w:val="22"/>
                <w:szCs w:val="22"/>
              </w:rPr>
              <w:t>Периодичность</w:t>
            </w:r>
            <w:r>
              <w:rPr>
                <w:sz w:val="22"/>
                <w:szCs w:val="22"/>
              </w:rPr>
              <w:t xml:space="preserve">: </w:t>
            </w:r>
            <w:r w:rsidR="00464A04">
              <w:rPr>
                <w:sz w:val="22"/>
                <w:szCs w:val="22"/>
              </w:rPr>
              <w:t xml:space="preserve">месячная, </w:t>
            </w:r>
            <w:r>
              <w:rPr>
                <w:sz w:val="22"/>
                <w:szCs w:val="22"/>
              </w:rPr>
              <w:t>квартальная, годовая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5E1" w:rsidRPr="008B3227" w:rsidRDefault="00E845E1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45E1" w:rsidRPr="008E2BCD" w:rsidRDefault="00E845E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5E1" w:rsidRPr="007B258A" w:rsidRDefault="00E845E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5E1" w:rsidRPr="007B258A" w:rsidRDefault="00E845E1">
            <w:pPr>
              <w:jc w:val="center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> </w:t>
            </w:r>
          </w:p>
        </w:tc>
      </w:tr>
      <w:tr w:rsidR="00E845E1" w:rsidRPr="007B258A" w:rsidTr="00E845E1">
        <w:trPr>
          <w:trHeight w:val="225"/>
        </w:trPr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5E1" w:rsidRPr="008B3227" w:rsidRDefault="00E845E1">
            <w:pPr>
              <w:rPr>
                <w:sz w:val="22"/>
                <w:szCs w:val="22"/>
              </w:rPr>
            </w:pPr>
            <w:r w:rsidRPr="008B3227">
              <w:rPr>
                <w:sz w:val="22"/>
                <w:szCs w:val="22"/>
              </w:rPr>
              <w:t>Единица измерения</w:t>
            </w:r>
            <w:r>
              <w:rPr>
                <w:sz w:val="22"/>
                <w:szCs w:val="22"/>
              </w:rPr>
              <w:t>: руб.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45E1" w:rsidRPr="008E2BCD" w:rsidRDefault="00E845E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5E1" w:rsidRPr="007B258A" w:rsidRDefault="00E845E1">
            <w:pPr>
              <w:jc w:val="right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 xml:space="preserve">по ОКЕИ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5E1" w:rsidRPr="007B258A" w:rsidRDefault="00E845E1">
            <w:pPr>
              <w:jc w:val="center"/>
              <w:rPr>
                <w:sz w:val="20"/>
                <w:szCs w:val="20"/>
              </w:rPr>
            </w:pPr>
            <w:r w:rsidRPr="007B258A">
              <w:rPr>
                <w:sz w:val="20"/>
                <w:szCs w:val="20"/>
              </w:rPr>
              <w:t>383</w:t>
            </w:r>
          </w:p>
        </w:tc>
      </w:tr>
    </w:tbl>
    <w:p w:rsidR="008E2BCD" w:rsidRPr="008E2BCD" w:rsidRDefault="008E2BCD" w:rsidP="00A70254">
      <w:pPr>
        <w:jc w:val="center"/>
        <w:rPr>
          <w:b/>
        </w:rPr>
      </w:pPr>
    </w:p>
    <w:p w:rsidR="008B24EB" w:rsidRDefault="008B24EB" w:rsidP="00A70254">
      <w:pPr>
        <w:ind w:firstLine="540"/>
        <w:jc w:val="both"/>
        <w:rPr>
          <w:sz w:val="16"/>
          <w:szCs w:val="16"/>
        </w:rPr>
      </w:pPr>
    </w:p>
    <w:p w:rsidR="008E2BCD" w:rsidRPr="00D71E72" w:rsidRDefault="008E2BCD" w:rsidP="00A70254">
      <w:pPr>
        <w:ind w:firstLine="540"/>
        <w:jc w:val="both"/>
      </w:pPr>
    </w:p>
    <w:p w:rsidR="001811EE" w:rsidRDefault="001811EE" w:rsidP="008E2BCD">
      <w:pPr>
        <w:spacing w:line="360" w:lineRule="auto"/>
        <w:ind w:firstLine="539"/>
        <w:jc w:val="both"/>
        <w:rPr>
          <w:b/>
        </w:rPr>
      </w:pPr>
    </w:p>
    <w:p w:rsidR="00DC7C16" w:rsidRDefault="00DC7C16" w:rsidP="00DC7C16">
      <w:pPr>
        <w:spacing w:line="360" w:lineRule="auto"/>
        <w:ind w:firstLine="539"/>
        <w:jc w:val="both"/>
        <w:rPr>
          <w:b/>
        </w:rPr>
      </w:pPr>
      <w:r w:rsidRPr="00D71E72">
        <w:rPr>
          <w:b/>
        </w:rPr>
        <w:t>Раздел 1. Организационная структура субъекта бюджетной отчетности.</w:t>
      </w:r>
    </w:p>
    <w:p w:rsidR="00DC7C16" w:rsidRDefault="00DC7C16" w:rsidP="00DC7C16">
      <w:pPr>
        <w:spacing w:line="360" w:lineRule="auto"/>
        <w:ind w:firstLine="900"/>
        <w:jc w:val="both"/>
      </w:pPr>
      <w:r w:rsidRPr="00D71E72">
        <w:rPr>
          <w:b/>
        </w:rPr>
        <w:t xml:space="preserve">       </w:t>
      </w:r>
      <w:r w:rsidRPr="00465965">
        <w:t>Департамен</w:t>
      </w:r>
      <w:r>
        <w:t>т труда и социального развития Администрации города Волгодонска</w:t>
      </w:r>
      <w:r w:rsidRPr="00465965">
        <w:t xml:space="preserve"> является</w:t>
      </w:r>
      <w:r>
        <w:t xml:space="preserve"> отраслевым (функциональным)</w:t>
      </w:r>
      <w:r w:rsidRPr="00465965">
        <w:t xml:space="preserve"> </w:t>
      </w:r>
      <w:r>
        <w:t>органом Администрации города Волгодонска. Департамент является органом муниципального образования «Город Волгодонск», обеспечивающим реализацию переданных органам местного самоуправления отдельных государственных полномочий в области социальной поддержки населения.</w:t>
      </w:r>
    </w:p>
    <w:p w:rsidR="00DC7C16" w:rsidRPr="00465965" w:rsidRDefault="00DC7C16" w:rsidP="00DC7C16">
      <w:pPr>
        <w:spacing w:line="360" w:lineRule="auto"/>
        <w:jc w:val="both"/>
      </w:pPr>
      <w:r>
        <w:t xml:space="preserve">             Место нахождения Департамента  г. Волгодонск, ул. Гор</w:t>
      </w:r>
      <w:r w:rsidRPr="00465965">
        <w:t>ького д.104.</w:t>
      </w:r>
    </w:p>
    <w:p w:rsidR="00DC7C16" w:rsidRDefault="00DC7C16" w:rsidP="00DC7C16">
      <w:pPr>
        <w:spacing w:line="360" w:lineRule="auto"/>
        <w:ind w:firstLine="900"/>
        <w:jc w:val="both"/>
      </w:pPr>
      <w:r w:rsidRPr="00465965">
        <w:t>Основным</w:t>
      </w:r>
      <w:r>
        <w:t xml:space="preserve">и задачами </w:t>
      </w:r>
      <w:r w:rsidRPr="00465965">
        <w:t xml:space="preserve">   деят</w:t>
      </w:r>
      <w:r>
        <w:t xml:space="preserve">ельности Департамента  является: </w:t>
      </w:r>
    </w:p>
    <w:p w:rsidR="00DC7C16" w:rsidRDefault="00DC7C16" w:rsidP="00DC7C16">
      <w:pPr>
        <w:spacing w:line="360" w:lineRule="auto"/>
        <w:ind w:firstLine="900"/>
        <w:jc w:val="both"/>
      </w:pPr>
      <w:r>
        <w:t>р</w:t>
      </w:r>
      <w:r w:rsidRPr="0097462F">
        <w:t>еализация переданных отдельных государственных полномочий в области</w:t>
      </w:r>
      <w:r>
        <w:t>:</w:t>
      </w:r>
    </w:p>
    <w:p w:rsidR="00DC7C16" w:rsidRDefault="00DC7C16" w:rsidP="00DC7C16">
      <w:pPr>
        <w:spacing w:line="360" w:lineRule="auto"/>
        <w:ind w:firstLine="900"/>
        <w:jc w:val="both"/>
      </w:pPr>
      <w:r>
        <w:t>-</w:t>
      </w:r>
      <w:r w:rsidRPr="0097462F">
        <w:t xml:space="preserve"> социальной поддержки семьи, материнства и детства, пожилых граждан, ветеранов, инвалидов, тружеников тыла, граждан, пострадавших от политических репрессий, граждан, подвергшихся воздействию радиации на Чернобыльской</w:t>
      </w:r>
      <w:r>
        <w:t xml:space="preserve"> АЭС, и лиц, приравненных к ним</w:t>
      </w:r>
      <w:r w:rsidRPr="0097462F">
        <w:t xml:space="preserve"> и друг</w:t>
      </w:r>
      <w:r>
        <w:t>их льготных категорий населения;</w:t>
      </w:r>
    </w:p>
    <w:p w:rsidR="00DC7C16" w:rsidRDefault="00DC7C16" w:rsidP="00DC7C16">
      <w:pPr>
        <w:spacing w:line="360" w:lineRule="auto"/>
        <w:ind w:firstLine="900"/>
        <w:jc w:val="both"/>
      </w:pPr>
      <w:r>
        <w:t>-</w:t>
      </w:r>
      <w:r w:rsidRPr="0097462F">
        <w:t xml:space="preserve"> обеспечения своевременного и правильного назначения и выплаты пособий, компенсаций;</w:t>
      </w:r>
    </w:p>
    <w:p w:rsidR="00DC7C16" w:rsidRPr="0097462F" w:rsidRDefault="00DC7C16" w:rsidP="00DC7C16">
      <w:pPr>
        <w:spacing w:line="360" w:lineRule="auto"/>
        <w:ind w:firstLine="900"/>
        <w:jc w:val="both"/>
      </w:pPr>
      <w:r>
        <w:t>-</w:t>
      </w:r>
      <w:r w:rsidRPr="0097462F">
        <w:t xml:space="preserve"> предоставления гражданам субсидий на оплату жилья и коммунальных услуг.</w:t>
      </w:r>
    </w:p>
    <w:p w:rsidR="00DC7C16" w:rsidRDefault="00DC7C16" w:rsidP="00DC7C16">
      <w:pPr>
        <w:spacing w:line="360" w:lineRule="auto"/>
        <w:ind w:firstLine="900"/>
        <w:jc w:val="both"/>
      </w:pPr>
      <w:r w:rsidRPr="0097462F">
        <w:t xml:space="preserve">  </w:t>
      </w:r>
      <w:r>
        <w:t>Департамент организует работу по:</w:t>
      </w:r>
    </w:p>
    <w:p w:rsidR="00DC7C16" w:rsidRDefault="00DC7C16" w:rsidP="00DC7C16">
      <w:pPr>
        <w:spacing w:line="360" w:lineRule="auto"/>
        <w:ind w:firstLine="900"/>
        <w:jc w:val="both"/>
      </w:pPr>
      <w:r>
        <w:lastRenderedPageBreak/>
        <w:t>-  назначению и выплате инвалидам, ветеранам, гражданам, пострадавшим от политических репрессий, труженикам тыла, многодетным семьям компенсации расходов на оплату жилого помещения и коммунальных услуг в виде ежемесячной денежной выплаты; гражданам адресных субсидий на оплату жилья и коммунальных услуг;</w:t>
      </w:r>
    </w:p>
    <w:p w:rsidR="00DC7C16" w:rsidRDefault="00DC7C16" w:rsidP="00DC7C16">
      <w:pPr>
        <w:spacing w:line="360" w:lineRule="auto"/>
        <w:ind w:firstLine="900"/>
        <w:jc w:val="both"/>
      </w:pPr>
      <w:r>
        <w:t xml:space="preserve">- предоставлению мер социальной поддержки на детей первого-второго года жизни из малоимущих семей и на детей из многодетных семей, </w:t>
      </w:r>
      <w:r w:rsidRPr="00B45860">
        <w:t>беременны</w:t>
      </w:r>
      <w:r>
        <w:t>м</w:t>
      </w:r>
      <w:r w:rsidRPr="00B45860">
        <w:t xml:space="preserve"> женщин</w:t>
      </w:r>
      <w:r>
        <w:t>ам</w:t>
      </w:r>
      <w:r w:rsidRPr="00B45860">
        <w:t xml:space="preserve"> из малоим</w:t>
      </w:r>
      <w:r>
        <w:t>у</w:t>
      </w:r>
      <w:r w:rsidRPr="00B45860">
        <w:t>щих семей, кормящи</w:t>
      </w:r>
      <w:r>
        <w:t>м</w:t>
      </w:r>
      <w:r w:rsidRPr="00B45860">
        <w:t xml:space="preserve"> матер</w:t>
      </w:r>
      <w:r>
        <w:t>ям</w:t>
      </w:r>
      <w:r w:rsidRPr="00B45860">
        <w:t xml:space="preserve"> и дет</w:t>
      </w:r>
      <w:r>
        <w:t>ям</w:t>
      </w:r>
      <w:r w:rsidRPr="00B45860">
        <w:t xml:space="preserve"> в возрасте до трех лет из малоимущих семей</w:t>
      </w:r>
      <w:r>
        <w:t>;</w:t>
      </w:r>
      <w:r w:rsidRPr="008C1656">
        <w:t xml:space="preserve"> </w:t>
      </w:r>
      <w:r>
        <w:t>с</w:t>
      </w:r>
      <w:r w:rsidRPr="00B45860">
        <w:t>ем</w:t>
      </w:r>
      <w:r>
        <w:t>ьям</w:t>
      </w:r>
      <w:r w:rsidRPr="00B45860">
        <w:t>, имеющи</w:t>
      </w:r>
      <w:r>
        <w:t>м</w:t>
      </w:r>
      <w:r w:rsidRPr="00B45860">
        <w:t xml:space="preserve"> детей и проживающи</w:t>
      </w:r>
      <w:r>
        <w:t>м</w:t>
      </w:r>
      <w:r w:rsidRPr="00B45860">
        <w:t xml:space="preserve">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</w:r>
      <w:r>
        <w:t>;</w:t>
      </w:r>
    </w:p>
    <w:p w:rsidR="00DC7C16" w:rsidRDefault="00DC7C16" w:rsidP="00DC7C16">
      <w:pPr>
        <w:spacing w:line="360" w:lineRule="auto"/>
        <w:ind w:firstLine="900"/>
        <w:jc w:val="both"/>
      </w:pPr>
      <w:r>
        <w:t>- по назначению и осуществлению ежемесячной выплаты на детей в возрасте от трех до семи лет включительно;</w:t>
      </w:r>
    </w:p>
    <w:p w:rsidR="00DC7C16" w:rsidRDefault="00DC7C16" w:rsidP="00DC7C16">
      <w:pPr>
        <w:spacing w:line="360" w:lineRule="auto"/>
        <w:ind w:firstLine="900"/>
        <w:jc w:val="both"/>
      </w:pPr>
      <w:r>
        <w:t>-  организации  работы по назначению и выплате государственных пособий на детей;</w:t>
      </w:r>
    </w:p>
    <w:p w:rsidR="00DC7C16" w:rsidRDefault="00DC7C16" w:rsidP="00DC7C16">
      <w:pPr>
        <w:spacing w:line="360" w:lineRule="auto"/>
        <w:ind w:firstLine="900"/>
        <w:jc w:val="both"/>
      </w:pPr>
      <w:r>
        <w:t>- выполнении на договорной основе по поручению министерства труда и социального развития Ростовской области отдельные организационные работы по оказанию адресной социальной помощи малоимущим гражданам, оказавшимся в экстремальной ситуации:</w:t>
      </w:r>
    </w:p>
    <w:p w:rsidR="00DC7C16" w:rsidRDefault="00DC7C16" w:rsidP="00DC7C16">
      <w:pPr>
        <w:spacing w:line="360" w:lineRule="auto"/>
        <w:ind w:firstLine="900"/>
        <w:jc w:val="both"/>
      </w:pPr>
      <w:r>
        <w:t>-организации работы по назначению компенсационных выплат в связи с расходами по оплате жилых помещений, коммунальных и других видов услуг членам семей, погибших (умерших) военнослужащих и сотрудников некоторых федеральных органов исполнительной власти;</w:t>
      </w:r>
    </w:p>
    <w:p w:rsidR="00DC7C16" w:rsidRDefault="00DC7C16" w:rsidP="00DC7C16">
      <w:pPr>
        <w:spacing w:line="360" w:lineRule="auto"/>
        <w:ind w:firstLine="900"/>
        <w:jc w:val="both"/>
      </w:pPr>
      <w:r>
        <w:t>-  организации отдыха и оздоровления детей, нуждающихся в особой заботе государства;</w:t>
      </w:r>
    </w:p>
    <w:p w:rsidR="00DC7C16" w:rsidRDefault="00DC7C16" w:rsidP="00DC7C16">
      <w:pPr>
        <w:spacing w:line="360" w:lineRule="auto"/>
        <w:ind w:firstLine="900"/>
        <w:jc w:val="both"/>
      </w:pPr>
      <w:r>
        <w:t>- осуществлению работ по ведению учета отдельных категорий граждан, нуждающихся в технических средствах реабилитации;</w:t>
      </w:r>
    </w:p>
    <w:p w:rsidR="00DC7C16" w:rsidRDefault="00DC7C16" w:rsidP="00DC7C16">
      <w:pPr>
        <w:spacing w:line="360" w:lineRule="auto"/>
        <w:ind w:firstLine="900"/>
        <w:jc w:val="both"/>
      </w:pPr>
      <w:r>
        <w:t xml:space="preserve">  - назначению и выдаче сертификатов регионального материнского капитала, выплате средств регионального материнского капитала;</w:t>
      </w:r>
    </w:p>
    <w:p w:rsidR="00DC7C16" w:rsidRDefault="00DC7C16" w:rsidP="00DC7C16">
      <w:pPr>
        <w:spacing w:line="360" w:lineRule="auto"/>
        <w:ind w:firstLine="900"/>
        <w:jc w:val="both"/>
      </w:pPr>
      <w:r>
        <w:t>-выплате мер социальной поддержки для лиц, награжденных знаком «Почетный донор России», «Почетный донор СССР»;</w:t>
      </w:r>
    </w:p>
    <w:p w:rsidR="00DC7C16" w:rsidRPr="0005562B" w:rsidRDefault="00DC7C16" w:rsidP="00DC7C16">
      <w:pPr>
        <w:spacing w:line="360" w:lineRule="auto"/>
        <w:ind w:firstLine="900"/>
        <w:jc w:val="both"/>
      </w:pPr>
      <w:r>
        <w:t>- организации работы по заключению и сопровождению социальных контрактов.</w:t>
      </w:r>
    </w:p>
    <w:p w:rsidR="00DC7C16" w:rsidRDefault="00DC7C16" w:rsidP="00DC7C16">
      <w:pPr>
        <w:spacing w:line="360" w:lineRule="auto"/>
        <w:ind w:firstLine="539"/>
        <w:jc w:val="both"/>
        <w:rPr>
          <w:b/>
        </w:rPr>
      </w:pPr>
      <w:r w:rsidRPr="00D71E72">
        <w:rPr>
          <w:b/>
        </w:rPr>
        <w:t>Раздел 2. Результаты деятельности субъекта бюджетной отчетности.</w:t>
      </w:r>
    </w:p>
    <w:p w:rsidR="00DC7C16" w:rsidRPr="007F7400" w:rsidRDefault="00DC7C16" w:rsidP="00DC7C16">
      <w:pPr>
        <w:spacing w:line="360" w:lineRule="auto"/>
        <w:jc w:val="both"/>
      </w:pPr>
      <w:r w:rsidRPr="008E48D7">
        <w:rPr>
          <w:b/>
        </w:rPr>
        <w:t xml:space="preserve">        </w:t>
      </w:r>
      <w:r w:rsidRPr="00A14C96">
        <w:t xml:space="preserve">Численность граждан, получивших различные виды социальной поддержки в денежном и </w:t>
      </w:r>
      <w:r w:rsidRPr="009E0D6B">
        <w:t xml:space="preserve">натуральном выражении в отчетном периоде, </w:t>
      </w:r>
      <w:r w:rsidRPr="00F24E5E">
        <w:t>составила более 70 тыс. чел., в том числе меры социальной поддержки на оплату ЖКУ получили 40 тыс. чел.</w:t>
      </w:r>
    </w:p>
    <w:p w:rsidR="00DC7C16" w:rsidRPr="00060D6D" w:rsidRDefault="00DC7C16" w:rsidP="00DC7C16">
      <w:pPr>
        <w:spacing w:line="360" w:lineRule="auto"/>
        <w:ind w:firstLine="539"/>
        <w:jc w:val="both"/>
      </w:pPr>
      <w:r w:rsidRPr="004121CE">
        <w:lastRenderedPageBreak/>
        <w:t>Среднесписочная численность работников Департамента составила  75 чел., из них муниципальные служащие - 64 чел., технические служащие -2 чел.,  обслуживающий персонал -7 чел.</w:t>
      </w:r>
    </w:p>
    <w:p w:rsidR="00DC7C16" w:rsidRDefault="00DC7C16" w:rsidP="00DC7C16">
      <w:pPr>
        <w:pStyle w:val="ConsPlusNonformat"/>
        <w:widowControl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3BE">
        <w:rPr>
          <w:rFonts w:ascii="Times New Roman" w:hAnsi="Times New Roman" w:cs="Times New Roman"/>
          <w:sz w:val="24"/>
          <w:szCs w:val="24"/>
        </w:rPr>
        <w:t>Департамент труда и социального развития Администрации города Волгодонска является ответственным исполнителем муниципальной программы города Волгодонска «Социальная поддержка граждан Волгодонска», основной целью которой является повышение качества жизни отдельных категорий населения города Волгодонска, повышение доступности и качества социального обслуживания населения города Волгодонска, создание для инвалидов и других маломобильных групп населения доступной и комфортной среды жизнедеятельности.</w:t>
      </w:r>
    </w:p>
    <w:p w:rsidR="00DC7C16" w:rsidRDefault="00DC7C16" w:rsidP="00DC7C16">
      <w:pPr>
        <w:pStyle w:val="ConsPlusNonformat"/>
        <w:widowControl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показателями результатов деятельности учреждения являются соответственно целевые показатели результативности проводимых программных мероприятий.</w:t>
      </w:r>
    </w:p>
    <w:p w:rsidR="00DC7C16" w:rsidRPr="0082182A" w:rsidRDefault="00DC7C16" w:rsidP="00DC7C16">
      <w:pPr>
        <w:pStyle w:val="ConsPlusNonformat"/>
        <w:widowControl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82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2182A">
        <w:rPr>
          <w:rFonts w:ascii="Times New Roman" w:hAnsi="Times New Roman" w:cs="Times New Roman"/>
          <w:sz w:val="24"/>
          <w:szCs w:val="24"/>
        </w:rPr>
        <w:t xml:space="preserve"> году достигнуты плановые значения целевых показателей программы, в том числе:</w:t>
      </w:r>
    </w:p>
    <w:p w:rsidR="00DC7C16" w:rsidRPr="00841538" w:rsidRDefault="00DC7C16" w:rsidP="00DC7C16">
      <w:pPr>
        <w:pStyle w:val="ConsPlusNonformat"/>
        <w:widowControl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38">
        <w:rPr>
          <w:rFonts w:ascii="Times New Roman" w:hAnsi="Times New Roman" w:cs="Times New Roman"/>
          <w:sz w:val="24"/>
          <w:szCs w:val="24"/>
        </w:rPr>
        <w:t>- уровень исполнения обязательств по предоставлению мер социальной поддержки отдельным категориям граждан - 100% при плане 100%;</w:t>
      </w:r>
    </w:p>
    <w:p w:rsidR="00DC7C16" w:rsidRPr="00841538" w:rsidRDefault="00DC7C16" w:rsidP="00DC7C16">
      <w:pPr>
        <w:pStyle w:val="ConsPlusNonformat"/>
        <w:widowControl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38">
        <w:rPr>
          <w:rFonts w:ascii="Times New Roman" w:hAnsi="Times New Roman" w:cs="Times New Roman"/>
          <w:sz w:val="24"/>
          <w:szCs w:val="24"/>
        </w:rPr>
        <w:t>- уровень исполнения обязательств по финансовой поддержке семей с детьми -100% при плане 100%;</w:t>
      </w:r>
    </w:p>
    <w:p w:rsidR="00DC7C16" w:rsidRPr="00841538" w:rsidRDefault="00DC7C16" w:rsidP="00DC7C16">
      <w:pPr>
        <w:pStyle w:val="ConsPlusNonformat"/>
        <w:widowControl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38">
        <w:rPr>
          <w:rFonts w:ascii="Times New Roman" w:hAnsi="Times New Roman" w:cs="Times New Roman"/>
          <w:sz w:val="24"/>
          <w:szCs w:val="24"/>
        </w:rPr>
        <w:t>-</w:t>
      </w:r>
      <w:r w:rsidRPr="00841538">
        <w:rPr>
          <w:rFonts w:ascii="Times New Roman" w:hAnsi="Times New Roman"/>
          <w:sz w:val="24"/>
          <w:szCs w:val="24"/>
        </w:rPr>
        <w:t xml:space="preserve"> доля граждан, получивших социальное обслуживание в МУ «ЦСО ГПВиИ № 1 г. Волгодонска», из числа обратившихся за получением социальных услуг</w:t>
      </w:r>
      <w:r w:rsidRPr="00841538">
        <w:rPr>
          <w:rFonts w:ascii="Times New Roman" w:hAnsi="Times New Roman" w:cs="Times New Roman"/>
          <w:sz w:val="24"/>
          <w:szCs w:val="24"/>
        </w:rPr>
        <w:t xml:space="preserve"> – 100% при плане 100%;</w:t>
      </w:r>
    </w:p>
    <w:p w:rsidR="00DC7C16" w:rsidRPr="002003BE" w:rsidRDefault="00DC7C16" w:rsidP="00DC7C16">
      <w:pPr>
        <w:pStyle w:val="ConsPlusNonformat"/>
        <w:widowControl/>
        <w:spacing w:line="360" w:lineRule="auto"/>
        <w:ind w:firstLine="708"/>
        <w:contextualSpacing/>
        <w:jc w:val="both"/>
        <w:rPr>
          <w:b/>
        </w:rPr>
      </w:pPr>
      <w:r w:rsidRPr="00841538">
        <w:rPr>
          <w:rFonts w:ascii="Times New Roman" w:hAnsi="Times New Roman"/>
          <w:sz w:val="24"/>
          <w:szCs w:val="24"/>
        </w:rPr>
        <w:t>- доля объектов социальной инфраструктуры доступных для инвалидов и других маломобильных групп населения от общего количества паспортизированных объектов, находящихся в муниципальной собственности -100% при плане 100%</w:t>
      </w:r>
      <w:r>
        <w:rPr>
          <w:rFonts w:ascii="Times New Roman" w:hAnsi="Times New Roman"/>
          <w:sz w:val="24"/>
          <w:szCs w:val="24"/>
        </w:rPr>
        <w:t>.</w:t>
      </w:r>
    </w:p>
    <w:p w:rsidR="00DC7C16" w:rsidRDefault="00D71E72" w:rsidP="00DC7C16">
      <w:pPr>
        <w:spacing w:line="360" w:lineRule="auto"/>
        <w:jc w:val="both"/>
      </w:pPr>
      <w:r w:rsidRPr="008E48D7">
        <w:rPr>
          <w:b/>
        </w:rPr>
        <w:t xml:space="preserve">        </w:t>
      </w:r>
      <w:r w:rsidR="00F07954">
        <w:rPr>
          <w:b/>
        </w:rPr>
        <w:t xml:space="preserve"> </w:t>
      </w:r>
      <w:r w:rsidR="00EA5A6E" w:rsidRPr="008E48D7">
        <w:rPr>
          <w:b/>
        </w:rPr>
        <w:t xml:space="preserve">        </w:t>
      </w:r>
      <w:r w:rsidR="00EA5A6E">
        <w:rPr>
          <w:b/>
        </w:rPr>
        <w:t xml:space="preserve"> </w:t>
      </w:r>
      <w:r w:rsidR="00EA5A6E" w:rsidRPr="00D71E72">
        <w:t>За 20</w:t>
      </w:r>
      <w:r w:rsidR="00EA5A6E">
        <w:t>2</w:t>
      </w:r>
      <w:r w:rsidR="00DC7C16">
        <w:t>3</w:t>
      </w:r>
      <w:r w:rsidR="00EA5A6E" w:rsidRPr="00D71E72">
        <w:t xml:space="preserve"> год за счет средств областного и местного бюджетов  израсходовано на </w:t>
      </w:r>
      <w:r w:rsidR="00EA5A6E">
        <w:t>предоставление мер социальной поддержки –</w:t>
      </w:r>
      <w:r w:rsidR="00EA5A6E" w:rsidRPr="00D71E72">
        <w:t xml:space="preserve"> </w:t>
      </w:r>
      <w:r w:rsidR="00DC7C16">
        <w:t>952 194 424,21 рублей, на выплату пенсий и доплат к пенсиям – 19 608 401,63 рублей.</w:t>
      </w:r>
    </w:p>
    <w:p w:rsidR="007A42F8" w:rsidRDefault="007A42F8" w:rsidP="00DC7C16">
      <w:pPr>
        <w:spacing w:line="360" w:lineRule="auto"/>
        <w:jc w:val="both"/>
        <w:rPr>
          <w:b/>
        </w:rPr>
      </w:pPr>
      <w:r w:rsidRPr="00D71E72">
        <w:rPr>
          <w:b/>
        </w:rPr>
        <w:t>Раздел 3. Анализ отчета об исполнении бюджета субъектом бюджетной отчетности.</w:t>
      </w:r>
    </w:p>
    <w:p w:rsidR="00DC7C16" w:rsidRDefault="00DC7C16" w:rsidP="00DC7C16">
      <w:pPr>
        <w:spacing w:line="360" w:lineRule="auto"/>
        <w:ind w:firstLine="708"/>
        <w:jc w:val="both"/>
      </w:pPr>
      <w:r w:rsidRPr="00103E14">
        <w:t>Смета по городскому бюджету, финансовой помощи областного бюджета на 01.</w:t>
      </w:r>
      <w:r>
        <w:t>01</w:t>
      </w:r>
      <w:r w:rsidRPr="00103E14">
        <w:t>.20</w:t>
      </w:r>
      <w:r>
        <w:t>24</w:t>
      </w:r>
      <w:r w:rsidRPr="00103E14">
        <w:t xml:space="preserve"> г. исполнена </w:t>
      </w:r>
      <w:r>
        <w:t xml:space="preserve">по </w:t>
      </w:r>
      <w:r w:rsidRPr="000E3E77">
        <w:t xml:space="preserve">расходам на </w:t>
      </w:r>
      <w:r>
        <w:t>99,88</w:t>
      </w:r>
      <w:r w:rsidRPr="000E3E77">
        <w:t xml:space="preserve">%, по доходам на </w:t>
      </w:r>
      <w:r>
        <w:t>95,87</w:t>
      </w:r>
      <w:r w:rsidRPr="000E3E77">
        <w:t>%.</w:t>
      </w:r>
    </w:p>
    <w:p w:rsidR="002A0458" w:rsidRPr="00123ABB" w:rsidRDefault="002A0458" w:rsidP="00123ABB">
      <w:pPr>
        <w:spacing w:line="360" w:lineRule="auto"/>
        <w:jc w:val="both"/>
      </w:pPr>
      <w:r>
        <w:t xml:space="preserve">            </w:t>
      </w:r>
      <w:r w:rsidR="0004409B" w:rsidRPr="0004409B">
        <w:t xml:space="preserve"> </w:t>
      </w:r>
      <w:r w:rsidRPr="00123ABB">
        <w:t xml:space="preserve">В соответствии с решением Волгодонской городской Думы от </w:t>
      </w:r>
      <w:r w:rsidR="009A6F02">
        <w:t>1</w:t>
      </w:r>
      <w:r w:rsidR="009331C5">
        <w:t>5</w:t>
      </w:r>
      <w:r w:rsidR="009A6F02">
        <w:t>.</w:t>
      </w:r>
      <w:r w:rsidRPr="00123ABB">
        <w:t>12.202</w:t>
      </w:r>
      <w:r w:rsidR="009331C5">
        <w:t>2</w:t>
      </w:r>
      <w:r w:rsidRPr="00123ABB">
        <w:t xml:space="preserve"> №1</w:t>
      </w:r>
      <w:r w:rsidR="009331C5">
        <w:t>0</w:t>
      </w:r>
      <w:r w:rsidR="009A6F02">
        <w:t>0</w:t>
      </w:r>
      <w:r w:rsidRPr="00123ABB">
        <w:t xml:space="preserve"> «О бюджете города Волгодонска на 202</w:t>
      </w:r>
      <w:r w:rsidR="009331C5">
        <w:t>3</w:t>
      </w:r>
      <w:r w:rsidRPr="00123ABB">
        <w:t xml:space="preserve"> год и на плановый период 202</w:t>
      </w:r>
      <w:r w:rsidR="009331C5">
        <w:t xml:space="preserve">4 </w:t>
      </w:r>
      <w:r w:rsidRPr="00123ABB">
        <w:t>и 20</w:t>
      </w:r>
      <w:r w:rsidR="009331C5">
        <w:t>25</w:t>
      </w:r>
      <w:r w:rsidRPr="00123ABB">
        <w:t xml:space="preserve"> годов» (далее Решение №1</w:t>
      </w:r>
      <w:r w:rsidR="009331C5">
        <w:t>0</w:t>
      </w:r>
      <w:r w:rsidRPr="00123ABB">
        <w:t>0) Департамент является главным администратором доходов бюджета города Волгодонска, главным распорядителем бюджетных средств.</w:t>
      </w:r>
    </w:p>
    <w:p w:rsidR="002E0F3D" w:rsidRDefault="00610556" w:rsidP="002A0458">
      <w:pPr>
        <w:spacing w:line="360" w:lineRule="auto"/>
        <w:jc w:val="both"/>
      </w:pPr>
      <w:r w:rsidRPr="00123ABB">
        <w:t xml:space="preserve"> </w:t>
      </w:r>
    </w:p>
    <w:p w:rsidR="009331C5" w:rsidRDefault="009331C5" w:rsidP="002A0458">
      <w:pPr>
        <w:spacing w:line="360" w:lineRule="auto"/>
        <w:jc w:val="both"/>
      </w:pPr>
    </w:p>
    <w:p w:rsidR="009331C5" w:rsidRDefault="009331C5" w:rsidP="002A0458">
      <w:pPr>
        <w:spacing w:line="360" w:lineRule="auto"/>
        <w:jc w:val="both"/>
      </w:pPr>
    </w:p>
    <w:p w:rsidR="009331C5" w:rsidRPr="00123ABB" w:rsidRDefault="009331C5" w:rsidP="002A0458">
      <w:pPr>
        <w:spacing w:line="360" w:lineRule="auto"/>
        <w:jc w:val="both"/>
      </w:pPr>
    </w:p>
    <w:p w:rsidR="002E0F3D" w:rsidRDefault="002E0F3D" w:rsidP="002E0F3D">
      <w:pPr>
        <w:spacing w:line="360" w:lineRule="auto"/>
        <w:ind w:firstLine="709"/>
        <w:jc w:val="center"/>
      </w:pPr>
      <w:r>
        <w:lastRenderedPageBreak/>
        <w:t>Анализ поступления доходов в 20</w:t>
      </w:r>
      <w:r w:rsidR="009A6F02">
        <w:t>2</w:t>
      </w:r>
      <w:r w:rsidR="009331C5">
        <w:t>2</w:t>
      </w:r>
      <w:r>
        <w:t xml:space="preserve"> и 20</w:t>
      </w:r>
      <w:r w:rsidR="00002A5F">
        <w:t>2</w:t>
      </w:r>
      <w:r w:rsidR="009331C5">
        <w:t>3</w:t>
      </w:r>
      <w:r>
        <w:t>годах</w:t>
      </w:r>
    </w:p>
    <w:p w:rsidR="0004409B" w:rsidRPr="0004409B" w:rsidRDefault="002E0F3D" w:rsidP="002E0F3D">
      <w:pPr>
        <w:spacing w:line="360" w:lineRule="auto"/>
        <w:ind w:firstLine="709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4409B" w:rsidRPr="0004409B">
        <w:t xml:space="preserve"> (тыс.руб.)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1105"/>
        <w:gridCol w:w="1135"/>
        <w:gridCol w:w="1134"/>
        <w:gridCol w:w="1134"/>
        <w:gridCol w:w="851"/>
        <w:gridCol w:w="851"/>
      </w:tblGrid>
      <w:tr w:rsidR="00D26131" w:rsidRPr="0004409B" w:rsidTr="003E1D0F">
        <w:tc>
          <w:tcPr>
            <w:tcW w:w="4139" w:type="dxa"/>
          </w:tcPr>
          <w:p w:rsidR="00D26131" w:rsidRPr="0004409B" w:rsidRDefault="00D26131" w:rsidP="0004409B">
            <w:pPr>
              <w:jc w:val="center"/>
              <w:rPr>
                <w:sz w:val="20"/>
                <w:szCs w:val="20"/>
              </w:rPr>
            </w:pPr>
          </w:p>
          <w:p w:rsidR="00D26131" w:rsidRPr="0004409B" w:rsidRDefault="00D26131" w:rsidP="0004409B">
            <w:pPr>
              <w:jc w:val="center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40" w:type="dxa"/>
            <w:gridSpan w:val="2"/>
            <w:vAlign w:val="center"/>
          </w:tcPr>
          <w:p w:rsidR="00D26131" w:rsidRPr="0004409B" w:rsidRDefault="00D26131" w:rsidP="000440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Утвержденные бюджетные показатели</w:t>
            </w:r>
          </w:p>
        </w:tc>
        <w:tc>
          <w:tcPr>
            <w:tcW w:w="2268" w:type="dxa"/>
            <w:gridSpan w:val="2"/>
          </w:tcPr>
          <w:p w:rsidR="00D26131" w:rsidRDefault="00D26131" w:rsidP="0004409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26131" w:rsidRPr="0004409B" w:rsidRDefault="00D26131" w:rsidP="000440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Фактическое поступление</w:t>
            </w:r>
          </w:p>
        </w:tc>
        <w:tc>
          <w:tcPr>
            <w:tcW w:w="1702" w:type="dxa"/>
            <w:gridSpan w:val="2"/>
          </w:tcPr>
          <w:p w:rsidR="00D26131" w:rsidRPr="0004409B" w:rsidRDefault="00D26131" w:rsidP="0004409B">
            <w:pPr>
              <w:ind w:left="-218" w:right="-108" w:firstLine="51"/>
              <w:jc w:val="center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%</w:t>
            </w:r>
          </w:p>
          <w:p w:rsidR="00D26131" w:rsidRPr="0004409B" w:rsidRDefault="00D26131" w:rsidP="00D26131">
            <w:pPr>
              <w:ind w:left="-218" w:right="-108" w:firstLine="51"/>
              <w:jc w:val="center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 xml:space="preserve"> исполнения</w:t>
            </w:r>
          </w:p>
        </w:tc>
      </w:tr>
      <w:tr w:rsidR="00D26131" w:rsidRPr="0004409B" w:rsidTr="003E1D0F">
        <w:tc>
          <w:tcPr>
            <w:tcW w:w="4139" w:type="dxa"/>
          </w:tcPr>
          <w:p w:rsidR="00D26131" w:rsidRPr="0004409B" w:rsidRDefault="00D26131" w:rsidP="0004409B">
            <w:pPr>
              <w:jc w:val="center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гр.1</w:t>
            </w:r>
          </w:p>
        </w:tc>
        <w:tc>
          <w:tcPr>
            <w:tcW w:w="1105" w:type="dxa"/>
          </w:tcPr>
          <w:p w:rsidR="00D26131" w:rsidRPr="0004409B" w:rsidRDefault="00D26131" w:rsidP="0004409B">
            <w:pPr>
              <w:ind w:left="-108" w:right="-232"/>
              <w:jc w:val="center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гр.2</w:t>
            </w:r>
          </w:p>
        </w:tc>
        <w:tc>
          <w:tcPr>
            <w:tcW w:w="1135" w:type="dxa"/>
          </w:tcPr>
          <w:p w:rsidR="00D26131" w:rsidRPr="0004409B" w:rsidRDefault="00D26131" w:rsidP="0004409B">
            <w:pPr>
              <w:ind w:left="-108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гр.3</w:t>
            </w:r>
          </w:p>
        </w:tc>
        <w:tc>
          <w:tcPr>
            <w:tcW w:w="1134" w:type="dxa"/>
          </w:tcPr>
          <w:p w:rsidR="00D26131" w:rsidRPr="0004409B" w:rsidRDefault="00D26131" w:rsidP="0004409B">
            <w:pPr>
              <w:ind w:left="-108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гр.4</w:t>
            </w:r>
          </w:p>
        </w:tc>
        <w:tc>
          <w:tcPr>
            <w:tcW w:w="1134" w:type="dxa"/>
          </w:tcPr>
          <w:p w:rsidR="00D26131" w:rsidRPr="0004409B" w:rsidRDefault="00D26131" w:rsidP="00D26131">
            <w:pPr>
              <w:ind w:left="-108" w:right="2"/>
              <w:jc w:val="center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26131" w:rsidRPr="0004409B" w:rsidRDefault="00D26131" w:rsidP="00D26131">
            <w:pPr>
              <w:ind w:left="-218" w:right="-108" w:firstLine="51"/>
              <w:jc w:val="center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26131" w:rsidRPr="0004409B" w:rsidRDefault="00D26131" w:rsidP="00D26131">
            <w:pPr>
              <w:ind w:left="-218" w:right="-108" w:firstLine="51"/>
              <w:jc w:val="center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>7</w:t>
            </w:r>
          </w:p>
        </w:tc>
      </w:tr>
      <w:tr w:rsidR="002A0458" w:rsidRPr="0004409B" w:rsidTr="003E1D0F">
        <w:trPr>
          <w:trHeight w:val="190"/>
        </w:trPr>
        <w:tc>
          <w:tcPr>
            <w:tcW w:w="4139" w:type="dxa"/>
          </w:tcPr>
          <w:p w:rsidR="002A0458" w:rsidRPr="0004409B" w:rsidRDefault="002A0458" w:rsidP="000440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2A0458" w:rsidRPr="0004409B" w:rsidRDefault="002A0458" w:rsidP="0093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331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5" w:type="dxa"/>
            <w:vAlign w:val="center"/>
          </w:tcPr>
          <w:p w:rsidR="002A0458" w:rsidRPr="0004409B" w:rsidRDefault="002A0458" w:rsidP="0093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6F02">
              <w:rPr>
                <w:sz w:val="20"/>
                <w:szCs w:val="20"/>
              </w:rPr>
              <w:t>2</w:t>
            </w:r>
            <w:r w:rsidR="009331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2A0458" w:rsidRPr="0004409B" w:rsidRDefault="002A0458" w:rsidP="0093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331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2A0458" w:rsidRPr="0004409B" w:rsidRDefault="002A0458" w:rsidP="0093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6F02">
              <w:rPr>
                <w:sz w:val="20"/>
                <w:szCs w:val="20"/>
              </w:rPr>
              <w:t>2</w:t>
            </w:r>
            <w:r w:rsidR="009331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2A0458" w:rsidRPr="0004409B" w:rsidRDefault="002A0458" w:rsidP="0093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331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2A0458" w:rsidRPr="0004409B" w:rsidRDefault="002A0458" w:rsidP="0093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331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ind w:right="-108"/>
              <w:jc w:val="both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05" w:type="dxa"/>
            <w:vAlign w:val="center"/>
          </w:tcPr>
          <w:p w:rsidR="009331C5" w:rsidRPr="00F10CE3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5" w:type="dxa"/>
            <w:vAlign w:val="center"/>
          </w:tcPr>
          <w:p w:rsidR="009331C5" w:rsidRPr="00F10CE3" w:rsidRDefault="00027DF0" w:rsidP="006B6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331C5" w:rsidRPr="0004409B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986,9</w:t>
            </w:r>
          </w:p>
        </w:tc>
        <w:tc>
          <w:tcPr>
            <w:tcW w:w="1134" w:type="dxa"/>
            <w:vAlign w:val="center"/>
          </w:tcPr>
          <w:p w:rsidR="009331C5" w:rsidRPr="0004409B" w:rsidRDefault="00027DF0" w:rsidP="00044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</w:t>
            </w:r>
          </w:p>
        </w:tc>
        <w:tc>
          <w:tcPr>
            <w:tcW w:w="851" w:type="dxa"/>
            <w:vAlign w:val="center"/>
          </w:tcPr>
          <w:p w:rsidR="009331C5" w:rsidRPr="0004409B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331C5" w:rsidRPr="0004409B" w:rsidRDefault="00027DF0" w:rsidP="00A06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27DF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="00027DF0">
              <w:rPr>
                <w:sz w:val="20"/>
                <w:szCs w:val="20"/>
              </w:rPr>
              <w:t>неналоговые доходы  бюджетов городских округов</w:t>
            </w:r>
          </w:p>
        </w:tc>
        <w:tc>
          <w:tcPr>
            <w:tcW w:w="1105" w:type="dxa"/>
            <w:vAlign w:val="center"/>
          </w:tcPr>
          <w:p w:rsidR="009331C5" w:rsidRPr="00F10CE3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9331C5" w:rsidRPr="00F10CE3" w:rsidRDefault="00027DF0" w:rsidP="002A04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331C5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331C5" w:rsidRDefault="00027DF0" w:rsidP="00F65B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9331C5" w:rsidRPr="0004409B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331C5" w:rsidRPr="0004409B" w:rsidRDefault="00027DF0" w:rsidP="00044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A06365" w:rsidRDefault="009331C5" w:rsidP="006B63E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</w:t>
            </w:r>
          </w:p>
        </w:tc>
        <w:tc>
          <w:tcPr>
            <w:tcW w:w="1105" w:type="dxa"/>
            <w:vAlign w:val="center"/>
          </w:tcPr>
          <w:p w:rsidR="009331C5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35" w:type="dxa"/>
            <w:vAlign w:val="center"/>
          </w:tcPr>
          <w:p w:rsidR="009331C5" w:rsidRDefault="009331C5" w:rsidP="002A04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1C5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9331C5" w:rsidRDefault="009331C5" w:rsidP="00F65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1C5" w:rsidRDefault="009331C5" w:rsidP="00D80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1C5" w:rsidRDefault="009331C5" w:rsidP="0004409B">
            <w:pPr>
              <w:jc w:val="right"/>
              <w:rPr>
                <w:sz w:val="20"/>
                <w:szCs w:val="20"/>
              </w:rPr>
            </w:pPr>
          </w:p>
        </w:tc>
      </w:tr>
      <w:tr w:rsidR="009331C5" w:rsidRPr="0004409B" w:rsidTr="003E1D0F">
        <w:tc>
          <w:tcPr>
            <w:tcW w:w="4139" w:type="dxa"/>
          </w:tcPr>
          <w:p w:rsidR="009331C5" w:rsidRDefault="009331C5" w:rsidP="006B63E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05" w:type="dxa"/>
            <w:vAlign w:val="center"/>
          </w:tcPr>
          <w:p w:rsidR="009331C5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5" w:type="dxa"/>
            <w:vAlign w:val="center"/>
          </w:tcPr>
          <w:p w:rsidR="009331C5" w:rsidRDefault="00027DF0" w:rsidP="002A04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vAlign w:val="center"/>
          </w:tcPr>
          <w:p w:rsidR="009331C5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9331C5" w:rsidRDefault="00027DF0" w:rsidP="00F65B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-29,4</w:t>
            </w:r>
          </w:p>
        </w:tc>
        <w:tc>
          <w:tcPr>
            <w:tcW w:w="851" w:type="dxa"/>
            <w:vAlign w:val="center"/>
          </w:tcPr>
          <w:p w:rsidR="009331C5" w:rsidRDefault="009331C5" w:rsidP="00D80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1C5" w:rsidRDefault="00027DF0" w:rsidP="00044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A06365" w:rsidRDefault="009331C5" w:rsidP="00F65B9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105" w:type="dxa"/>
            <w:vAlign w:val="center"/>
          </w:tcPr>
          <w:p w:rsidR="009331C5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396,6</w:t>
            </w:r>
          </w:p>
        </w:tc>
        <w:tc>
          <w:tcPr>
            <w:tcW w:w="1135" w:type="dxa"/>
            <w:vAlign w:val="center"/>
          </w:tcPr>
          <w:p w:rsidR="009331C5" w:rsidRDefault="00027DF0" w:rsidP="002A04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1979,0</w:t>
            </w:r>
          </w:p>
        </w:tc>
        <w:tc>
          <w:tcPr>
            <w:tcW w:w="1134" w:type="dxa"/>
            <w:vAlign w:val="center"/>
          </w:tcPr>
          <w:p w:rsidR="009331C5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396,6</w:t>
            </w:r>
          </w:p>
        </w:tc>
        <w:tc>
          <w:tcPr>
            <w:tcW w:w="1134" w:type="dxa"/>
            <w:vAlign w:val="center"/>
          </w:tcPr>
          <w:p w:rsidR="009331C5" w:rsidRDefault="00027DF0" w:rsidP="00F65B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1303,9</w:t>
            </w:r>
          </w:p>
        </w:tc>
        <w:tc>
          <w:tcPr>
            <w:tcW w:w="851" w:type="dxa"/>
            <w:vAlign w:val="center"/>
          </w:tcPr>
          <w:p w:rsidR="009331C5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9331C5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</w:t>
            </w:r>
          </w:p>
        </w:tc>
        <w:tc>
          <w:tcPr>
            <w:tcW w:w="1105" w:type="dxa"/>
            <w:vAlign w:val="center"/>
          </w:tcPr>
          <w:p w:rsidR="009331C5" w:rsidRPr="000507B0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5088,2</w:t>
            </w:r>
          </w:p>
        </w:tc>
        <w:tc>
          <w:tcPr>
            <w:tcW w:w="1135" w:type="dxa"/>
            <w:vAlign w:val="center"/>
          </w:tcPr>
          <w:p w:rsidR="009331C5" w:rsidRPr="000507B0" w:rsidRDefault="00027DF0" w:rsidP="006B6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5337,5</w:t>
            </w:r>
          </w:p>
        </w:tc>
        <w:tc>
          <w:tcPr>
            <w:tcW w:w="1134" w:type="dxa"/>
            <w:vAlign w:val="center"/>
          </w:tcPr>
          <w:p w:rsidR="009331C5" w:rsidRPr="000507B0" w:rsidRDefault="009331C5" w:rsidP="00D80859">
            <w:pPr>
              <w:jc w:val="right"/>
              <w:rPr>
                <w:sz w:val="20"/>
                <w:szCs w:val="20"/>
              </w:rPr>
            </w:pPr>
            <w:r w:rsidRPr="000507B0">
              <w:rPr>
                <w:sz w:val="20"/>
                <w:szCs w:val="20"/>
              </w:rPr>
              <w:t>4431,4</w:t>
            </w:r>
          </w:p>
        </w:tc>
        <w:tc>
          <w:tcPr>
            <w:tcW w:w="1134" w:type="dxa"/>
            <w:vAlign w:val="center"/>
          </w:tcPr>
          <w:p w:rsidR="009331C5" w:rsidRPr="000507B0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5570,9</w:t>
            </w:r>
          </w:p>
        </w:tc>
        <w:tc>
          <w:tcPr>
            <w:tcW w:w="851" w:type="dxa"/>
            <w:vAlign w:val="center"/>
          </w:tcPr>
          <w:p w:rsidR="009331C5" w:rsidRPr="000507B0" w:rsidRDefault="009331C5" w:rsidP="00D80859">
            <w:pPr>
              <w:jc w:val="right"/>
              <w:rPr>
                <w:sz w:val="20"/>
                <w:szCs w:val="20"/>
              </w:rPr>
            </w:pPr>
            <w:r w:rsidRPr="000507B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9331C5" w:rsidRPr="000507B0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05" w:type="dxa"/>
            <w:vAlign w:val="center"/>
          </w:tcPr>
          <w:p w:rsidR="009331C5" w:rsidRPr="000507B0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142671,2</w:t>
            </w:r>
          </w:p>
        </w:tc>
        <w:tc>
          <w:tcPr>
            <w:tcW w:w="1135" w:type="dxa"/>
            <w:vAlign w:val="center"/>
          </w:tcPr>
          <w:p w:rsidR="009331C5" w:rsidRPr="000507B0" w:rsidRDefault="00027DF0" w:rsidP="006B6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151710,5</w:t>
            </w:r>
          </w:p>
        </w:tc>
        <w:tc>
          <w:tcPr>
            <w:tcW w:w="1134" w:type="dxa"/>
            <w:vAlign w:val="center"/>
          </w:tcPr>
          <w:p w:rsidR="009331C5" w:rsidRPr="000507B0" w:rsidRDefault="009331C5" w:rsidP="00D80859">
            <w:pPr>
              <w:jc w:val="right"/>
              <w:rPr>
                <w:sz w:val="20"/>
                <w:szCs w:val="20"/>
              </w:rPr>
            </w:pPr>
            <w:r w:rsidRPr="000507B0">
              <w:rPr>
                <w:sz w:val="20"/>
                <w:szCs w:val="20"/>
              </w:rPr>
              <w:t>188313,6</w:t>
            </w:r>
          </w:p>
        </w:tc>
        <w:tc>
          <w:tcPr>
            <w:tcW w:w="1134" w:type="dxa"/>
            <w:vAlign w:val="center"/>
          </w:tcPr>
          <w:p w:rsidR="009331C5" w:rsidRPr="000507B0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145380,7</w:t>
            </w:r>
          </w:p>
        </w:tc>
        <w:tc>
          <w:tcPr>
            <w:tcW w:w="851" w:type="dxa"/>
            <w:vAlign w:val="center"/>
          </w:tcPr>
          <w:p w:rsidR="009331C5" w:rsidRPr="000507B0" w:rsidRDefault="009331C5" w:rsidP="00D80859">
            <w:pPr>
              <w:jc w:val="right"/>
              <w:rPr>
                <w:sz w:val="20"/>
                <w:szCs w:val="20"/>
              </w:rPr>
            </w:pPr>
            <w:r w:rsidRPr="000507B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9331C5" w:rsidRPr="000507B0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РФ</w:t>
            </w:r>
          </w:p>
        </w:tc>
        <w:tc>
          <w:tcPr>
            <w:tcW w:w="1105" w:type="dxa"/>
            <w:vAlign w:val="center"/>
          </w:tcPr>
          <w:p w:rsidR="009331C5" w:rsidRPr="00BA3175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575443,9</w:t>
            </w:r>
          </w:p>
        </w:tc>
        <w:tc>
          <w:tcPr>
            <w:tcW w:w="1135" w:type="dxa"/>
            <w:vAlign w:val="center"/>
          </w:tcPr>
          <w:p w:rsidR="009331C5" w:rsidRPr="00BA3175" w:rsidRDefault="00027DF0" w:rsidP="006B6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607624,2</w:t>
            </w:r>
          </w:p>
        </w:tc>
        <w:tc>
          <w:tcPr>
            <w:tcW w:w="1134" w:type="dxa"/>
            <w:vAlign w:val="center"/>
          </w:tcPr>
          <w:p w:rsidR="009331C5" w:rsidRPr="00BA3175" w:rsidRDefault="009331C5" w:rsidP="00D80859">
            <w:pPr>
              <w:jc w:val="right"/>
              <w:rPr>
                <w:sz w:val="20"/>
                <w:szCs w:val="20"/>
              </w:rPr>
            </w:pPr>
            <w:r w:rsidRPr="00BA3175">
              <w:rPr>
                <w:sz w:val="20"/>
                <w:szCs w:val="20"/>
              </w:rPr>
              <w:t>471428,9</w:t>
            </w:r>
          </w:p>
        </w:tc>
        <w:tc>
          <w:tcPr>
            <w:tcW w:w="1134" w:type="dxa"/>
            <w:vAlign w:val="center"/>
          </w:tcPr>
          <w:p w:rsidR="009331C5" w:rsidRPr="00BA3175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610572,4</w:t>
            </w:r>
          </w:p>
        </w:tc>
        <w:tc>
          <w:tcPr>
            <w:tcW w:w="851" w:type="dxa"/>
            <w:vAlign w:val="center"/>
          </w:tcPr>
          <w:p w:rsidR="009331C5" w:rsidRPr="00BA3175" w:rsidRDefault="009331C5" w:rsidP="00D80859">
            <w:pPr>
              <w:jc w:val="right"/>
              <w:rPr>
                <w:sz w:val="20"/>
                <w:szCs w:val="20"/>
              </w:rPr>
            </w:pPr>
            <w:r w:rsidRPr="00BA3175"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vAlign w:val="center"/>
          </w:tcPr>
          <w:p w:rsidR="009331C5" w:rsidRPr="00BA3175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105" w:type="dxa"/>
            <w:vAlign w:val="center"/>
          </w:tcPr>
          <w:p w:rsidR="009331C5" w:rsidRPr="00D4310E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74793,2</w:t>
            </w:r>
          </w:p>
        </w:tc>
        <w:tc>
          <w:tcPr>
            <w:tcW w:w="1135" w:type="dxa"/>
            <w:vAlign w:val="center"/>
          </w:tcPr>
          <w:p w:rsidR="009331C5" w:rsidRPr="00D4310E" w:rsidRDefault="00027DF0" w:rsidP="006B6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74955,5</w:t>
            </w:r>
          </w:p>
        </w:tc>
        <w:tc>
          <w:tcPr>
            <w:tcW w:w="1134" w:type="dxa"/>
            <w:vAlign w:val="center"/>
          </w:tcPr>
          <w:p w:rsidR="009331C5" w:rsidRPr="00CF749A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74792,6</w:t>
            </w:r>
          </w:p>
        </w:tc>
        <w:tc>
          <w:tcPr>
            <w:tcW w:w="1134" w:type="dxa"/>
            <w:vAlign w:val="center"/>
          </w:tcPr>
          <w:p w:rsidR="009331C5" w:rsidRPr="00CF749A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41510,0</w:t>
            </w:r>
          </w:p>
        </w:tc>
        <w:tc>
          <w:tcPr>
            <w:tcW w:w="851" w:type="dxa"/>
            <w:vAlign w:val="center"/>
          </w:tcPr>
          <w:p w:rsidR="009331C5" w:rsidRPr="00D4310E" w:rsidRDefault="009331C5" w:rsidP="00D80859">
            <w:pPr>
              <w:jc w:val="right"/>
              <w:rPr>
                <w:sz w:val="20"/>
                <w:szCs w:val="20"/>
              </w:rPr>
            </w:pPr>
            <w:r w:rsidRPr="00D4310E"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vAlign w:val="center"/>
          </w:tcPr>
          <w:p w:rsidR="009331C5" w:rsidRPr="00D4310E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РФ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05" w:type="dxa"/>
            <w:vAlign w:val="center"/>
          </w:tcPr>
          <w:p w:rsidR="009331C5" w:rsidRPr="00D4310E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12670,0</w:t>
            </w:r>
          </w:p>
        </w:tc>
        <w:tc>
          <w:tcPr>
            <w:tcW w:w="1135" w:type="dxa"/>
            <w:vAlign w:val="center"/>
          </w:tcPr>
          <w:p w:rsidR="009331C5" w:rsidRPr="00D4310E" w:rsidRDefault="00027DF0" w:rsidP="006B6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13134,8</w:t>
            </w:r>
          </w:p>
        </w:tc>
        <w:tc>
          <w:tcPr>
            <w:tcW w:w="1134" w:type="dxa"/>
            <w:vAlign w:val="center"/>
          </w:tcPr>
          <w:p w:rsidR="009331C5" w:rsidRPr="00D4310E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12670,0</w:t>
            </w:r>
          </w:p>
        </w:tc>
        <w:tc>
          <w:tcPr>
            <w:tcW w:w="1134" w:type="dxa"/>
            <w:vAlign w:val="center"/>
          </w:tcPr>
          <w:p w:rsidR="009331C5" w:rsidRPr="00D4310E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13302,2</w:t>
            </w:r>
          </w:p>
        </w:tc>
        <w:tc>
          <w:tcPr>
            <w:tcW w:w="851" w:type="dxa"/>
            <w:vAlign w:val="center"/>
          </w:tcPr>
          <w:p w:rsidR="009331C5" w:rsidRPr="00D4310E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9331C5" w:rsidRPr="00D4310E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05" w:type="dxa"/>
            <w:vAlign w:val="center"/>
          </w:tcPr>
          <w:p w:rsidR="009331C5" w:rsidRPr="00D4310E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98974,4</w:t>
            </w:r>
          </w:p>
        </w:tc>
        <w:tc>
          <w:tcPr>
            <w:tcW w:w="1135" w:type="dxa"/>
            <w:vAlign w:val="center"/>
          </w:tcPr>
          <w:p w:rsidR="00027DF0" w:rsidRPr="00D4310E" w:rsidRDefault="00027DF0" w:rsidP="0002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117341,5</w:t>
            </w:r>
          </w:p>
        </w:tc>
        <w:tc>
          <w:tcPr>
            <w:tcW w:w="1134" w:type="dxa"/>
            <w:vAlign w:val="center"/>
          </w:tcPr>
          <w:p w:rsidR="009331C5" w:rsidRPr="00D4310E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98973,2</w:t>
            </w:r>
          </w:p>
        </w:tc>
        <w:tc>
          <w:tcPr>
            <w:tcW w:w="1134" w:type="dxa"/>
            <w:vAlign w:val="center"/>
          </w:tcPr>
          <w:p w:rsidR="009331C5" w:rsidRPr="00D4310E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110495,4</w:t>
            </w:r>
          </w:p>
        </w:tc>
        <w:tc>
          <w:tcPr>
            <w:tcW w:w="851" w:type="dxa"/>
            <w:vAlign w:val="center"/>
          </w:tcPr>
          <w:p w:rsidR="009331C5" w:rsidRPr="00D4310E" w:rsidRDefault="009331C5" w:rsidP="00D80859">
            <w:pPr>
              <w:jc w:val="right"/>
              <w:rPr>
                <w:sz w:val="20"/>
                <w:szCs w:val="20"/>
              </w:rPr>
            </w:pPr>
            <w:r w:rsidRPr="00D4310E"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vAlign w:val="center"/>
          </w:tcPr>
          <w:p w:rsidR="009331C5" w:rsidRPr="00D4310E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sz w:val="20"/>
                <w:szCs w:val="20"/>
              </w:rPr>
            </w:pPr>
            <w:r w:rsidRPr="00EF0BB4">
              <w:rPr>
                <w:sz w:val="20"/>
                <w:szCs w:val="20"/>
              </w:rPr>
              <w:t>Субвенция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05" w:type="dxa"/>
            <w:vAlign w:val="center"/>
          </w:tcPr>
          <w:p w:rsidR="009331C5" w:rsidRPr="00D4310E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396462,1</w:t>
            </w:r>
          </w:p>
        </w:tc>
        <w:tc>
          <w:tcPr>
            <w:tcW w:w="1135" w:type="dxa"/>
            <w:vAlign w:val="center"/>
          </w:tcPr>
          <w:p w:rsidR="009331C5" w:rsidRPr="00D4310E" w:rsidRDefault="00027DF0" w:rsidP="006B6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187360,7</w:t>
            </w:r>
          </w:p>
        </w:tc>
        <w:tc>
          <w:tcPr>
            <w:tcW w:w="1134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396462,1</w:t>
            </w:r>
          </w:p>
        </w:tc>
        <w:tc>
          <w:tcPr>
            <w:tcW w:w="1134" w:type="dxa"/>
            <w:vAlign w:val="center"/>
          </w:tcPr>
          <w:p w:rsidR="009331C5" w:rsidRPr="00351213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185024,1</w:t>
            </w:r>
          </w:p>
        </w:tc>
        <w:tc>
          <w:tcPr>
            <w:tcW w:w="851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 w:rsidRPr="00351213"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vAlign w:val="center"/>
          </w:tcPr>
          <w:p w:rsidR="009331C5" w:rsidRPr="00351213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sz w:val="20"/>
                <w:szCs w:val="20"/>
              </w:rPr>
            </w:pPr>
            <w:r w:rsidRPr="0004409B">
              <w:rPr>
                <w:sz w:val="20"/>
                <w:szCs w:val="20"/>
              </w:rPr>
              <w:t>Субвенции бюджетам городских округов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05" w:type="dxa"/>
            <w:vAlign w:val="center"/>
          </w:tcPr>
          <w:p w:rsidR="009331C5" w:rsidRPr="00D4310E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139609,0</w:t>
            </w:r>
          </w:p>
        </w:tc>
        <w:tc>
          <w:tcPr>
            <w:tcW w:w="1135" w:type="dxa"/>
            <w:vAlign w:val="center"/>
          </w:tcPr>
          <w:p w:rsidR="009331C5" w:rsidRPr="00D4310E" w:rsidRDefault="00027DF0" w:rsidP="006B6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139608,9</w:t>
            </w:r>
          </w:p>
        </w:tc>
        <w:tc>
          <w:tcPr>
            <w:tcW w:w="1134" w:type="dxa"/>
            <w:vAlign w:val="center"/>
          </w:tcPr>
          <w:p w:rsidR="009331C5" w:rsidRPr="00351213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vAlign w:val="center"/>
          </w:tcPr>
          <w:p w:rsidR="009331C5" w:rsidRPr="00351213" w:rsidRDefault="00027DF0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sz w:val="20"/>
                <w:szCs w:val="20"/>
              </w:rPr>
            </w:pPr>
            <w:r w:rsidRPr="00F65B95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05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9331C5" w:rsidRPr="00351213" w:rsidRDefault="003651E2" w:rsidP="002A04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331C5" w:rsidRPr="002A3390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-322,7</w:t>
            </w:r>
          </w:p>
        </w:tc>
        <w:tc>
          <w:tcPr>
            <w:tcW w:w="1134" w:type="dxa"/>
            <w:vAlign w:val="center"/>
          </w:tcPr>
          <w:p w:rsidR="009331C5" w:rsidRPr="002A3390" w:rsidRDefault="003651E2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-186,7</w:t>
            </w:r>
          </w:p>
        </w:tc>
        <w:tc>
          <w:tcPr>
            <w:tcW w:w="851" w:type="dxa"/>
            <w:vAlign w:val="center"/>
          </w:tcPr>
          <w:p w:rsidR="009331C5" w:rsidRPr="002A3390" w:rsidRDefault="009331C5" w:rsidP="00D80859">
            <w:pPr>
              <w:jc w:val="right"/>
              <w:rPr>
                <w:sz w:val="20"/>
                <w:szCs w:val="20"/>
              </w:rPr>
            </w:pPr>
            <w:r w:rsidRPr="002A33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331C5" w:rsidRPr="002A3390" w:rsidRDefault="003651E2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sz w:val="20"/>
                <w:szCs w:val="20"/>
              </w:rPr>
            </w:pPr>
            <w:r w:rsidRPr="00F65B95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</w:t>
            </w:r>
            <w:r w:rsidRPr="00F65B95">
              <w:rPr>
                <w:sz w:val="20"/>
                <w:szCs w:val="20"/>
              </w:rPr>
              <w:lastRenderedPageBreak/>
              <w:t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  <w:tc>
          <w:tcPr>
            <w:tcW w:w="1105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 w:rsidRPr="0035121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5" w:type="dxa"/>
            <w:vAlign w:val="center"/>
          </w:tcPr>
          <w:p w:rsidR="009331C5" w:rsidRPr="00351213" w:rsidRDefault="003651E2" w:rsidP="002A04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-33,8</w:t>
            </w:r>
          </w:p>
        </w:tc>
        <w:tc>
          <w:tcPr>
            <w:tcW w:w="1134" w:type="dxa"/>
            <w:vAlign w:val="center"/>
          </w:tcPr>
          <w:p w:rsidR="009331C5" w:rsidRPr="00351213" w:rsidRDefault="003651E2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-11,6</w:t>
            </w:r>
          </w:p>
        </w:tc>
        <w:tc>
          <w:tcPr>
            <w:tcW w:w="851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 w:rsidRPr="003512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331C5" w:rsidRPr="00351213" w:rsidRDefault="003651E2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sz w:val="20"/>
                <w:szCs w:val="20"/>
              </w:rPr>
            </w:pPr>
            <w:r w:rsidRPr="00DD37C3">
              <w:rPr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5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 w:rsidRPr="00351213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9331C5" w:rsidRPr="00351213" w:rsidRDefault="003651E2" w:rsidP="002A04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-1552,9</w:t>
            </w:r>
          </w:p>
        </w:tc>
        <w:tc>
          <w:tcPr>
            <w:tcW w:w="1134" w:type="dxa"/>
            <w:vAlign w:val="center"/>
          </w:tcPr>
          <w:p w:rsidR="009331C5" w:rsidRPr="00351213" w:rsidRDefault="003651E2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-2209,3</w:t>
            </w:r>
          </w:p>
        </w:tc>
        <w:tc>
          <w:tcPr>
            <w:tcW w:w="851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 w:rsidRPr="003512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331C5" w:rsidRPr="00351213" w:rsidRDefault="003651E2" w:rsidP="0050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1C5" w:rsidRPr="0004409B" w:rsidTr="003E1D0F">
        <w:tc>
          <w:tcPr>
            <w:tcW w:w="4139" w:type="dxa"/>
          </w:tcPr>
          <w:p w:rsidR="009331C5" w:rsidRPr="0004409B" w:rsidRDefault="009331C5" w:rsidP="0004409B">
            <w:pPr>
              <w:jc w:val="both"/>
              <w:rPr>
                <w:b/>
                <w:sz w:val="20"/>
                <w:szCs w:val="20"/>
              </w:rPr>
            </w:pPr>
            <w:r w:rsidRPr="0004409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05" w:type="dxa"/>
            <w:vAlign w:val="center"/>
          </w:tcPr>
          <w:p w:rsidR="009331C5" w:rsidRPr="00351213" w:rsidRDefault="009331C5" w:rsidP="00D8085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1446529,7</w:t>
            </w:r>
          </w:p>
        </w:tc>
        <w:tc>
          <w:tcPr>
            <w:tcW w:w="1135" w:type="dxa"/>
            <w:vAlign w:val="center"/>
          </w:tcPr>
          <w:p w:rsidR="009331C5" w:rsidRPr="003651E2" w:rsidRDefault="003651E2" w:rsidP="00B95B07">
            <w:pPr>
              <w:jc w:val="right"/>
              <w:rPr>
                <w:b/>
                <w:sz w:val="20"/>
                <w:szCs w:val="20"/>
              </w:rPr>
            </w:pPr>
            <w:r w:rsidRPr="003651E2">
              <w:rPr>
                <w:b/>
                <w:sz w:val="20"/>
                <w:szCs w:val="20"/>
              </w:rPr>
              <w:t>1159506,7</w:t>
            </w:r>
          </w:p>
        </w:tc>
        <w:tc>
          <w:tcPr>
            <w:tcW w:w="1134" w:type="dxa"/>
            <w:vAlign w:val="center"/>
          </w:tcPr>
          <w:p w:rsidR="009331C5" w:rsidRPr="00515060" w:rsidRDefault="009331C5" w:rsidP="00D808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1445329,0</w:t>
            </w:r>
          </w:p>
        </w:tc>
        <w:tc>
          <w:tcPr>
            <w:tcW w:w="1134" w:type="dxa"/>
            <w:vAlign w:val="center"/>
          </w:tcPr>
          <w:p w:rsidR="009331C5" w:rsidRPr="00515060" w:rsidRDefault="003651E2" w:rsidP="00500A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1111668,5</w:t>
            </w:r>
          </w:p>
        </w:tc>
        <w:tc>
          <w:tcPr>
            <w:tcW w:w="851" w:type="dxa"/>
            <w:vAlign w:val="center"/>
          </w:tcPr>
          <w:p w:rsidR="009331C5" w:rsidRPr="00515060" w:rsidRDefault="009331C5" w:rsidP="00D80859">
            <w:pPr>
              <w:jc w:val="right"/>
              <w:rPr>
                <w:b/>
                <w:sz w:val="20"/>
                <w:szCs w:val="20"/>
              </w:rPr>
            </w:pPr>
            <w:r w:rsidRPr="00515060">
              <w:rPr>
                <w:b/>
                <w:sz w:val="20"/>
                <w:szCs w:val="20"/>
              </w:rPr>
              <w:t>99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vAlign w:val="center"/>
          </w:tcPr>
          <w:p w:rsidR="009331C5" w:rsidRPr="00515060" w:rsidRDefault="003651E2" w:rsidP="003E1D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</w:t>
            </w:r>
          </w:p>
        </w:tc>
      </w:tr>
      <w:tr w:rsidR="006B63E9" w:rsidRPr="0004409B" w:rsidTr="003E1D0F">
        <w:tc>
          <w:tcPr>
            <w:tcW w:w="4139" w:type="dxa"/>
          </w:tcPr>
          <w:p w:rsidR="006B63E9" w:rsidRPr="0004409B" w:rsidRDefault="006B63E9" w:rsidP="000440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6B63E9" w:rsidRDefault="006B63E9" w:rsidP="002A045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B63E9" w:rsidRPr="002A3390" w:rsidRDefault="006B63E9" w:rsidP="002A045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3E9" w:rsidRDefault="006B63E9" w:rsidP="002A045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3E9" w:rsidRDefault="006B63E9" w:rsidP="0004409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63E9" w:rsidRDefault="006B63E9" w:rsidP="002A045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63E9" w:rsidRDefault="006B63E9" w:rsidP="002E3487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4409B" w:rsidRDefault="0004409B" w:rsidP="002E0F3D">
      <w:pPr>
        <w:pStyle w:val="a8"/>
        <w:spacing w:before="120" w:beforeAutospacing="0" w:after="0" w:afterAutospacing="0" w:line="360" w:lineRule="auto"/>
        <w:ind w:firstLine="709"/>
        <w:jc w:val="both"/>
        <w:rPr>
          <w:bCs/>
        </w:rPr>
      </w:pPr>
      <w:r w:rsidRPr="002E0F3D">
        <w:t>П</w:t>
      </w:r>
      <w:r w:rsidRPr="002E0F3D">
        <w:rPr>
          <w:bCs/>
        </w:rPr>
        <w:t>ричиной н</w:t>
      </w:r>
      <w:r w:rsidR="002E0F3D">
        <w:rPr>
          <w:bCs/>
        </w:rPr>
        <w:t xml:space="preserve">еисполнения назначений явилось </w:t>
      </w:r>
      <w:r w:rsidRPr="002E0F3D">
        <w:rPr>
          <w:bCs/>
        </w:rPr>
        <w:t>поступление межбюджетных трансфертов в сумме прогнозной заявки средств, необходимых для оказания мер социальной поддержки.</w:t>
      </w:r>
    </w:p>
    <w:p w:rsidR="00FC7835" w:rsidRPr="00DF4302" w:rsidRDefault="00FC7835" w:rsidP="00FC7835">
      <w:pPr>
        <w:spacing w:line="360" w:lineRule="auto"/>
        <w:ind w:firstLine="539"/>
        <w:jc w:val="both"/>
      </w:pPr>
      <w:r w:rsidRPr="00123ABB">
        <w:t xml:space="preserve">Решением № </w:t>
      </w:r>
      <w:r w:rsidRPr="00DF4302">
        <w:t xml:space="preserve">110 Департаменту </w:t>
      </w:r>
      <w:r>
        <w:t xml:space="preserve">на 2022 год были </w:t>
      </w:r>
      <w:r w:rsidRPr="00DF4302">
        <w:t>утверждены бюджетные назначения по расходам в сумме 1630040,2 тыс.руб. В течение года плановые назначения были уменьшены на 152537,3 тыс.руб. и составили на 31.12.2022г. 1477502,9 тыс.руб</w:t>
      </w:r>
      <w:r w:rsidRPr="00123ABB">
        <w:t xml:space="preserve">. </w:t>
      </w:r>
      <w:r w:rsidRPr="00DF4302">
        <w:t xml:space="preserve">Исполнение расходной части бюджета за 2022 год составило 1475963,7 тыс.руб. или 99,9% от утвержденных бюджетных назначений. </w:t>
      </w:r>
    </w:p>
    <w:p w:rsidR="00FC7835" w:rsidRDefault="00FC7835" w:rsidP="00FC7835">
      <w:pPr>
        <w:spacing w:line="360" w:lineRule="auto"/>
        <w:ind w:firstLine="539"/>
        <w:jc w:val="both"/>
      </w:pPr>
      <w:r w:rsidRPr="00123ABB">
        <w:t>Объемы утвержденных бюджетных назначений и финансирования Департамента в 202</w:t>
      </w:r>
      <w:r>
        <w:t>2</w:t>
      </w:r>
      <w:r w:rsidRPr="00123ABB">
        <w:t>г. в разрезе подразделов функциональной классификации расходов  приведены в таблице:</w:t>
      </w:r>
    </w:p>
    <w:p w:rsidR="00FC7835" w:rsidRDefault="00FC7835" w:rsidP="00FC7835">
      <w:pPr>
        <w:tabs>
          <w:tab w:val="left" w:pos="9216"/>
        </w:tabs>
        <w:spacing w:line="360" w:lineRule="auto"/>
        <w:ind w:firstLine="539"/>
        <w:jc w:val="both"/>
      </w:pPr>
      <w:r>
        <w:tab/>
      </w:r>
      <w:r w:rsidRPr="007900F5">
        <w:rPr>
          <w:sz w:val="20"/>
          <w:szCs w:val="20"/>
        </w:rPr>
        <w:t>тыс.руб.)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079"/>
        <w:gridCol w:w="1080"/>
        <w:gridCol w:w="1083"/>
        <w:gridCol w:w="992"/>
        <w:gridCol w:w="995"/>
        <w:gridCol w:w="1418"/>
      </w:tblGrid>
      <w:tr w:rsidR="00FC7835" w:rsidRPr="007900F5" w:rsidTr="00FC7835">
        <w:tc>
          <w:tcPr>
            <w:tcW w:w="3526" w:type="dxa"/>
            <w:vMerge w:val="restart"/>
          </w:tcPr>
          <w:p w:rsidR="00FC7835" w:rsidRPr="007900F5" w:rsidRDefault="00FC7835" w:rsidP="00FC7835">
            <w:pPr>
              <w:pStyle w:val="2"/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  <w:p w:rsidR="00FC7835" w:rsidRPr="007900F5" w:rsidRDefault="00FC7835" w:rsidP="00FC783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Подраздел</w:t>
            </w:r>
          </w:p>
        </w:tc>
        <w:tc>
          <w:tcPr>
            <w:tcW w:w="3242" w:type="dxa"/>
            <w:gridSpan w:val="3"/>
          </w:tcPr>
          <w:p w:rsidR="00FC7835" w:rsidRPr="007900F5" w:rsidRDefault="00FC7835" w:rsidP="00FC783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987" w:type="dxa"/>
            <w:gridSpan w:val="2"/>
            <w:vMerge w:val="restart"/>
          </w:tcPr>
          <w:p w:rsidR="00FC7835" w:rsidRPr="007900F5" w:rsidRDefault="00FC7835" w:rsidP="00FC783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Исполнен</w:t>
            </w:r>
            <w:r>
              <w:rPr>
                <w:sz w:val="20"/>
                <w:szCs w:val="20"/>
              </w:rPr>
              <w:t>ные назначения</w:t>
            </w:r>
          </w:p>
        </w:tc>
        <w:tc>
          <w:tcPr>
            <w:tcW w:w="1418" w:type="dxa"/>
            <w:vMerge w:val="restart"/>
          </w:tcPr>
          <w:p w:rsidR="00FC7835" w:rsidRPr="007900F5" w:rsidRDefault="00FC7835" w:rsidP="00FC783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 xml:space="preserve">Неисполненные назначения  </w:t>
            </w:r>
          </w:p>
        </w:tc>
      </w:tr>
      <w:tr w:rsidR="00FC7835" w:rsidRPr="007900F5" w:rsidTr="00FC7835">
        <w:trPr>
          <w:trHeight w:val="230"/>
        </w:trPr>
        <w:tc>
          <w:tcPr>
            <w:tcW w:w="3526" w:type="dxa"/>
            <w:vMerge/>
          </w:tcPr>
          <w:p w:rsidR="00FC7835" w:rsidRPr="007900F5" w:rsidRDefault="00FC7835" w:rsidP="00FC7835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FC7835" w:rsidRPr="007900F5" w:rsidRDefault="00FC7835" w:rsidP="00FC7835">
            <w:pPr>
              <w:pStyle w:val="2"/>
              <w:spacing w:after="0" w:line="240" w:lineRule="auto"/>
              <w:ind w:left="-108" w:right="-67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на  начало</w:t>
            </w:r>
          </w:p>
          <w:p w:rsidR="00FC7835" w:rsidRPr="007900F5" w:rsidRDefault="00FC7835" w:rsidP="00FC7835">
            <w:pPr>
              <w:pStyle w:val="2"/>
              <w:spacing w:after="0" w:line="240" w:lineRule="auto"/>
              <w:ind w:left="-108" w:right="-67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80" w:type="dxa"/>
            <w:vMerge w:val="restart"/>
          </w:tcPr>
          <w:p w:rsidR="00FC7835" w:rsidRPr="007900F5" w:rsidRDefault="00FC7835" w:rsidP="00FC783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 xml:space="preserve">на конец </w:t>
            </w:r>
          </w:p>
          <w:p w:rsidR="00FC7835" w:rsidRPr="007900F5" w:rsidRDefault="00FC7835" w:rsidP="00FC783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года</w:t>
            </w:r>
          </w:p>
        </w:tc>
        <w:tc>
          <w:tcPr>
            <w:tcW w:w="1083" w:type="dxa"/>
            <w:vMerge w:val="restart"/>
          </w:tcPr>
          <w:p w:rsidR="00FC7835" w:rsidRPr="007900F5" w:rsidRDefault="00FC7835" w:rsidP="00FC783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 xml:space="preserve">изменение </w:t>
            </w:r>
          </w:p>
          <w:p w:rsidR="00FC7835" w:rsidRPr="007900F5" w:rsidRDefault="00FC7835" w:rsidP="00FC783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(+, -)</w:t>
            </w:r>
          </w:p>
        </w:tc>
        <w:tc>
          <w:tcPr>
            <w:tcW w:w="1987" w:type="dxa"/>
            <w:gridSpan w:val="2"/>
            <w:vMerge/>
          </w:tcPr>
          <w:p w:rsidR="00FC7835" w:rsidRPr="007900F5" w:rsidRDefault="00FC7835" w:rsidP="00FC783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835" w:rsidRPr="007900F5" w:rsidRDefault="00FC7835" w:rsidP="00FC783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C7835" w:rsidRPr="007900F5" w:rsidTr="00FC7835">
        <w:tc>
          <w:tcPr>
            <w:tcW w:w="3526" w:type="dxa"/>
            <w:vMerge/>
          </w:tcPr>
          <w:p w:rsidR="00FC7835" w:rsidRPr="007900F5" w:rsidRDefault="00FC7835" w:rsidP="00FC7835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FC7835" w:rsidRPr="007900F5" w:rsidRDefault="00FC7835" w:rsidP="00FC7835">
            <w:pPr>
              <w:pStyle w:val="2"/>
              <w:spacing w:after="0" w:line="240" w:lineRule="auto"/>
              <w:ind w:left="-108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C7835" w:rsidRPr="007900F5" w:rsidRDefault="00FC7835" w:rsidP="00FC7835">
            <w:pPr>
              <w:pStyle w:val="2"/>
              <w:spacing w:after="0" w:line="240" w:lineRule="auto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C7835" w:rsidRPr="007900F5" w:rsidRDefault="00FC7835" w:rsidP="00FC7835">
            <w:pPr>
              <w:pStyle w:val="2"/>
              <w:spacing w:after="0" w:line="240" w:lineRule="auto"/>
              <w:ind w:left="-13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835" w:rsidRPr="007900F5" w:rsidRDefault="00FC7835" w:rsidP="00FC7835">
            <w:pPr>
              <w:pStyle w:val="2"/>
              <w:spacing w:after="0" w:line="240" w:lineRule="auto"/>
              <w:ind w:left="-10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5" w:type="dxa"/>
          </w:tcPr>
          <w:p w:rsidR="00FC7835" w:rsidRPr="007900F5" w:rsidRDefault="00FC7835" w:rsidP="00FC7835">
            <w:pPr>
              <w:pStyle w:val="2"/>
              <w:spacing w:after="0" w:line="240" w:lineRule="auto"/>
              <w:ind w:left="-10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C7835" w:rsidRPr="007900F5" w:rsidRDefault="00FC7835" w:rsidP="00FC7835">
            <w:pPr>
              <w:pStyle w:val="2"/>
              <w:spacing w:after="0" w:line="240" w:lineRule="auto"/>
              <w:ind w:left="-108" w:right="-11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сумма</w:t>
            </w:r>
          </w:p>
        </w:tc>
      </w:tr>
      <w:tr w:rsidR="00FC7835" w:rsidRPr="000F208D" w:rsidTr="00FC7835">
        <w:tc>
          <w:tcPr>
            <w:tcW w:w="3526" w:type="dxa"/>
          </w:tcPr>
          <w:p w:rsidR="00FC7835" w:rsidRPr="007900F5" w:rsidRDefault="00FC7835" w:rsidP="00FC7835">
            <w:pPr>
              <w:pStyle w:val="2"/>
              <w:spacing w:after="0" w:line="240" w:lineRule="auto"/>
              <w:ind w:left="0" w:right="72"/>
              <w:jc w:val="both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079" w:type="dxa"/>
            <w:vAlign w:val="center"/>
          </w:tcPr>
          <w:p w:rsidR="00FC7835" w:rsidRPr="0000401B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345,3</w:t>
            </w:r>
          </w:p>
        </w:tc>
        <w:tc>
          <w:tcPr>
            <w:tcW w:w="1080" w:type="dxa"/>
            <w:vAlign w:val="center"/>
          </w:tcPr>
          <w:p w:rsidR="00FC7835" w:rsidRPr="00442D1D" w:rsidRDefault="00FC7835" w:rsidP="00FC7835">
            <w:pPr>
              <w:pStyle w:val="ConsPlusTitle"/>
              <w:ind w:left="-108" w:firstLine="108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360,6</w:t>
            </w:r>
          </w:p>
        </w:tc>
        <w:tc>
          <w:tcPr>
            <w:tcW w:w="1083" w:type="dxa"/>
            <w:vAlign w:val="center"/>
          </w:tcPr>
          <w:p w:rsidR="00FC7835" w:rsidRPr="00442D1D" w:rsidRDefault="00FC7835" w:rsidP="00FC7835">
            <w:pPr>
              <w:pStyle w:val="ConsPlusTitle"/>
              <w:ind w:left="-13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+15,3</w:t>
            </w:r>
          </w:p>
        </w:tc>
        <w:tc>
          <w:tcPr>
            <w:tcW w:w="992" w:type="dxa"/>
            <w:vAlign w:val="center"/>
          </w:tcPr>
          <w:p w:rsidR="00FC7835" w:rsidRPr="007900F5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360,4</w:t>
            </w:r>
          </w:p>
        </w:tc>
        <w:tc>
          <w:tcPr>
            <w:tcW w:w="995" w:type="dxa"/>
            <w:vAlign w:val="center"/>
          </w:tcPr>
          <w:p w:rsidR="00FC7835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99,9</w:t>
            </w:r>
          </w:p>
        </w:tc>
        <w:tc>
          <w:tcPr>
            <w:tcW w:w="1418" w:type="dxa"/>
            <w:vAlign w:val="center"/>
          </w:tcPr>
          <w:p w:rsidR="00FC7835" w:rsidRPr="00755AEF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0,2</w:t>
            </w:r>
          </w:p>
        </w:tc>
      </w:tr>
      <w:tr w:rsidR="00FC7835" w:rsidRPr="000F208D" w:rsidTr="00FC7835">
        <w:tc>
          <w:tcPr>
            <w:tcW w:w="3526" w:type="dxa"/>
          </w:tcPr>
          <w:p w:rsidR="00FC7835" w:rsidRPr="000E70EF" w:rsidRDefault="00FC7835" w:rsidP="00FC7835">
            <w:pPr>
              <w:pStyle w:val="2"/>
              <w:spacing w:after="0" w:line="240" w:lineRule="auto"/>
              <w:ind w:left="0" w:right="72"/>
              <w:jc w:val="both"/>
              <w:rPr>
                <w:sz w:val="20"/>
                <w:szCs w:val="20"/>
              </w:rPr>
            </w:pPr>
            <w:r w:rsidRPr="000E70EF">
              <w:rPr>
                <w:sz w:val="20"/>
                <w:szCs w:val="2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079" w:type="dxa"/>
            <w:vAlign w:val="center"/>
          </w:tcPr>
          <w:p w:rsidR="00FC7835" w:rsidRPr="0000401B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22,8</w:t>
            </w:r>
          </w:p>
        </w:tc>
        <w:tc>
          <w:tcPr>
            <w:tcW w:w="1080" w:type="dxa"/>
            <w:vAlign w:val="center"/>
          </w:tcPr>
          <w:p w:rsidR="00FC7835" w:rsidRPr="00442D1D" w:rsidRDefault="00FC7835" w:rsidP="00FC7835">
            <w:pPr>
              <w:pStyle w:val="ConsPlusTitle"/>
              <w:ind w:left="-108" w:firstLine="108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20,2</w:t>
            </w:r>
          </w:p>
        </w:tc>
        <w:tc>
          <w:tcPr>
            <w:tcW w:w="1083" w:type="dxa"/>
            <w:vAlign w:val="center"/>
          </w:tcPr>
          <w:p w:rsidR="00FC7835" w:rsidRPr="00442D1D" w:rsidRDefault="00FC7835" w:rsidP="00FC7835">
            <w:pPr>
              <w:pStyle w:val="ConsPlusTitle"/>
              <w:ind w:left="-13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-2,6</w:t>
            </w:r>
          </w:p>
        </w:tc>
        <w:tc>
          <w:tcPr>
            <w:tcW w:w="992" w:type="dxa"/>
            <w:vAlign w:val="center"/>
          </w:tcPr>
          <w:p w:rsidR="00FC7835" w:rsidRPr="00442D1D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20,2</w:t>
            </w:r>
          </w:p>
        </w:tc>
        <w:tc>
          <w:tcPr>
            <w:tcW w:w="995" w:type="dxa"/>
          </w:tcPr>
          <w:p w:rsidR="00FC7835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FC7835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100,0</w:t>
            </w:r>
          </w:p>
        </w:tc>
        <w:tc>
          <w:tcPr>
            <w:tcW w:w="1418" w:type="dxa"/>
            <w:vAlign w:val="center"/>
          </w:tcPr>
          <w:p w:rsidR="00FC7835" w:rsidRPr="00755AEF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FC7835" w:rsidRPr="000F208D" w:rsidTr="00FC7835">
        <w:tc>
          <w:tcPr>
            <w:tcW w:w="3526" w:type="dxa"/>
          </w:tcPr>
          <w:p w:rsidR="00FC7835" w:rsidRPr="00061559" w:rsidRDefault="00FC7835" w:rsidP="00FC7835">
            <w:pPr>
              <w:pStyle w:val="2"/>
              <w:spacing w:after="0" w:line="240" w:lineRule="auto"/>
              <w:ind w:left="0" w:right="72"/>
              <w:jc w:val="both"/>
              <w:rPr>
                <w:sz w:val="20"/>
                <w:szCs w:val="20"/>
              </w:rPr>
            </w:pPr>
            <w:r w:rsidRPr="00061559">
              <w:rPr>
                <w:sz w:val="20"/>
                <w:szCs w:val="20"/>
              </w:rPr>
              <w:t>0707 «Молодёжная политика и оздоровление детей»</w:t>
            </w:r>
          </w:p>
        </w:tc>
        <w:tc>
          <w:tcPr>
            <w:tcW w:w="1079" w:type="dxa"/>
            <w:vAlign w:val="center"/>
          </w:tcPr>
          <w:p w:rsidR="00FC7835" w:rsidRPr="00061559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061559">
              <w:rPr>
                <w:rFonts w:ascii="Times New Roman" w:hAnsi="Times New Roman" w:cs="Times New Roman"/>
                <w:b w:val="0"/>
              </w:rPr>
              <w:t>43949,5</w:t>
            </w:r>
          </w:p>
        </w:tc>
        <w:tc>
          <w:tcPr>
            <w:tcW w:w="1080" w:type="dxa"/>
            <w:vAlign w:val="center"/>
          </w:tcPr>
          <w:p w:rsidR="00FC7835" w:rsidRPr="00061559" w:rsidRDefault="00FC7835" w:rsidP="00FC7835">
            <w:pPr>
              <w:pStyle w:val="ConsPlusTitle"/>
              <w:ind w:left="-108" w:firstLine="108"/>
              <w:jc w:val="right"/>
              <w:rPr>
                <w:rFonts w:ascii="Times New Roman" w:hAnsi="Times New Roman" w:cs="Times New Roman"/>
                <w:b w:val="0"/>
              </w:rPr>
            </w:pPr>
            <w:r w:rsidRPr="00061559">
              <w:rPr>
                <w:rFonts w:ascii="Times New Roman" w:hAnsi="Times New Roman" w:cs="Times New Roman"/>
                <w:b w:val="0"/>
              </w:rPr>
              <w:t>27857,9</w:t>
            </w:r>
          </w:p>
        </w:tc>
        <w:tc>
          <w:tcPr>
            <w:tcW w:w="1083" w:type="dxa"/>
            <w:vAlign w:val="center"/>
          </w:tcPr>
          <w:p w:rsidR="00FC7835" w:rsidRPr="00061559" w:rsidRDefault="00FC7835" w:rsidP="00FC7835">
            <w:pPr>
              <w:pStyle w:val="ConsPlusTitle"/>
              <w:ind w:left="-130"/>
              <w:jc w:val="right"/>
              <w:rPr>
                <w:rFonts w:ascii="Times New Roman" w:hAnsi="Times New Roman" w:cs="Times New Roman"/>
                <w:b w:val="0"/>
              </w:rPr>
            </w:pPr>
            <w:r w:rsidRPr="00061559">
              <w:rPr>
                <w:rFonts w:ascii="Times New Roman" w:hAnsi="Times New Roman" w:cs="Times New Roman"/>
                <w:b w:val="0"/>
              </w:rPr>
              <w:t>-16091,6</w:t>
            </w:r>
          </w:p>
        </w:tc>
        <w:tc>
          <w:tcPr>
            <w:tcW w:w="992" w:type="dxa"/>
            <w:vAlign w:val="center"/>
          </w:tcPr>
          <w:p w:rsidR="00FC7835" w:rsidRPr="00061559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061559">
              <w:rPr>
                <w:rFonts w:ascii="Times New Roman" w:hAnsi="Times New Roman" w:cs="Times New Roman"/>
                <w:b w:val="0"/>
              </w:rPr>
              <w:t>27855,4</w:t>
            </w:r>
          </w:p>
        </w:tc>
        <w:tc>
          <w:tcPr>
            <w:tcW w:w="995" w:type="dxa"/>
            <w:vAlign w:val="center"/>
          </w:tcPr>
          <w:p w:rsidR="00FC7835" w:rsidRPr="00061559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99,9</w:t>
            </w:r>
          </w:p>
        </w:tc>
        <w:tc>
          <w:tcPr>
            <w:tcW w:w="1418" w:type="dxa"/>
            <w:vAlign w:val="center"/>
          </w:tcPr>
          <w:p w:rsidR="00FC7835" w:rsidRPr="00061559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061559">
              <w:rPr>
                <w:rFonts w:ascii="Times New Roman" w:hAnsi="Times New Roman" w:cs="Times New Roman"/>
                <w:b w:val="0"/>
              </w:rPr>
              <w:t>2,5</w:t>
            </w:r>
          </w:p>
        </w:tc>
      </w:tr>
      <w:tr w:rsidR="00FC7835" w:rsidRPr="000F208D" w:rsidTr="00FC7835">
        <w:tc>
          <w:tcPr>
            <w:tcW w:w="3526" w:type="dxa"/>
          </w:tcPr>
          <w:p w:rsidR="00FC7835" w:rsidRPr="000E70EF" w:rsidRDefault="00FC7835" w:rsidP="00FC7835">
            <w:pPr>
              <w:pStyle w:val="2"/>
              <w:spacing w:after="0" w:line="240" w:lineRule="auto"/>
              <w:ind w:left="0" w:right="72"/>
              <w:jc w:val="both"/>
              <w:rPr>
                <w:sz w:val="20"/>
                <w:szCs w:val="20"/>
              </w:rPr>
            </w:pPr>
            <w:r w:rsidRPr="000E70EF">
              <w:rPr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079" w:type="dxa"/>
            <w:vAlign w:val="center"/>
          </w:tcPr>
          <w:p w:rsidR="00FC7835" w:rsidRPr="0000401B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12888,3</w:t>
            </w:r>
          </w:p>
        </w:tc>
        <w:tc>
          <w:tcPr>
            <w:tcW w:w="1080" w:type="dxa"/>
            <w:vAlign w:val="center"/>
          </w:tcPr>
          <w:p w:rsidR="00FC7835" w:rsidRPr="00893864" w:rsidRDefault="00FC7835" w:rsidP="00FC7835">
            <w:pPr>
              <w:pStyle w:val="ConsPlusTitle"/>
              <w:ind w:left="-108" w:firstLine="108"/>
              <w:jc w:val="right"/>
              <w:rPr>
                <w:rFonts w:ascii="Times New Roman" w:hAnsi="Times New Roman" w:cs="Times New Roman"/>
                <w:b w:val="0"/>
              </w:rPr>
            </w:pPr>
            <w:r w:rsidRPr="00893864">
              <w:rPr>
                <w:rFonts w:ascii="Times New Roman" w:hAnsi="Times New Roman" w:cs="Times New Roman"/>
                <w:b w:val="0"/>
              </w:rPr>
              <w:t>18677,7</w:t>
            </w:r>
          </w:p>
        </w:tc>
        <w:tc>
          <w:tcPr>
            <w:tcW w:w="1083" w:type="dxa"/>
            <w:vAlign w:val="center"/>
          </w:tcPr>
          <w:p w:rsidR="00FC7835" w:rsidRPr="00893864" w:rsidRDefault="00FC7835" w:rsidP="00FC7835">
            <w:pPr>
              <w:pStyle w:val="ConsPlusTitle"/>
              <w:ind w:left="-13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+5789,4</w:t>
            </w:r>
          </w:p>
        </w:tc>
        <w:tc>
          <w:tcPr>
            <w:tcW w:w="992" w:type="dxa"/>
            <w:vAlign w:val="center"/>
          </w:tcPr>
          <w:p w:rsidR="00FC7835" w:rsidRPr="000F208D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93864">
              <w:rPr>
                <w:rFonts w:ascii="Times New Roman" w:hAnsi="Times New Roman" w:cs="Times New Roman"/>
                <w:b w:val="0"/>
              </w:rPr>
              <w:t>18677,4</w:t>
            </w:r>
          </w:p>
        </w:tc>
        <w:tc>
          <w:tcPr>
            <w:tcW w:w="995" w:type="dxa"/>
          </w:tcPr>
          <w:p w:rsidR="00FC7835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99,9</w:t>
            </w:r>
          </w:p>
        </w:tc>
        <w:tc>
          <w:tcPr>
            <w:tcW w:w="1418" w:type="dxa"/>
            <w:vAlign w:val="center"/>
          </w:tcPr>
          <w:p w:rsidR="00FC7835" w:rsidRPr="000411FB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</w:tr>
      <w:tr w:rsidR="00FC7835" w:rsidRPr="000411FB" w:rsidTr="00FC7835">
        <w:tc>
          <w:tcPr>
            <w:tcW w:w="3526" w:type="dxa"/>
          </w:tcPr>
          <w:p w:rsidR="00FC7835" w:rsidRPr="000E70EF" w:rsidRDefault="00FC7835" w:rsidP="00FC7835">
            <w:pPr>
              <w:pStyle w:val="2"/>
              <w:spacing w:after="0" w:line="240" w:lineRule="auto"/>
              <w:ind w:left="0" w:right="72"/>
              <w:jc w:val="both"/>
              <w:rPr>
                <w:sz w:val="20"/>
                <w:szCs w:val="20"/>
              </w:rPr>
            </w:pPr>
            <w:r w:rsidRPr="000E70EF">
              <w:rPr>
                <w:sz w:val="20"/>
                <w:szCs w:val="20"/>
              </w:rPr>
              <w:t>1002 «Социальное обслуживание населения»</w:t>
            </w:r>
          </w:p>
        </w:tc>
        <w:tc>
          <w:tcPr>
            <w:tcW w:w="1079" w:type="dxa"/>
            <w:vAlign w:val="center"/>
          </w:tcPr>
          <w:p w:rsidR="00FC7835" w:rsidRPr="00893864" w:rsidRDefault="00FC7835" w:rsidP="00FC78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893864">
              <w:rPr>
                <w:rFonts w:ascii="Times New Roman" w:hAnsi="Times New Roman" w:cs="Times New Roman"/>
                <w:b w:val="0"/>
              </w:rPr>
              <w:t>88980,2</w:t>
            </w:r>
          </w:p>
        </w:tc>
        <w:tc>
          <w:tcPr>
            <w:tcW w:w="1080" w:type="dxa"/>
            <w:vAlign w:val="center"/>
          </w:tcPr>
          <w:p w:rsidR="00FC7835" w:rsidRPr="00893864" w:rsidRDefault="00FC7835" w:rsidP="00FC7835">
            <w:pPr>
              <w:pStyle w:val="ConsPlusTitle"/>
              <w:ind w:left="-108" w:firstLine="108"/>
              <w:jc w:val="right"/>
              <w:rPr>
                <w:rFonts w:ascii="Times New Roman" w:hAnsi="Times New Roman" w:cs="Times New Roman"/>
                <w:b w:val="0"/>
              </w:rPr>
            </w:pPr>
            <w:r w:rsidRPr="00893864">
              <w:rPr>
                <w:rFonts w:ascii="Times New Roman" w:hAnsi="Times New Roman" w:cs="Times New Roman"/>
                <w:b w:val="0"/>
              </w:rPr>
              <w:t>94036,8</w:t>
            </w:r>
          </w:p>
        </w:tc>
        <w:tc>
          <w:tcPr>
            <w:tcW w:w="1083" w:type="dxa"/>
            <w:vAlign w:val="center"/>
          </w:tcPr>
          <w:p w:rsidR="00FC7835" w:rsidRPr="00893864" w:rsidRDefault="00FC7835" w:rsidP="00FC7835">
            <w:pPr>
              <w:pStyle w:val="2"/>
              <w:spacing w:after="0" w:line="240" w:lineRule="auto"/>
              <w:ind w:left="-130"/>
              <w:jc w:val="right"/>
              <w:rPr>
                <w:sz w:val="20"/>
                <w:szCs w:val="20"/>
              </w:rPr>
            </w:pPr>
            <w:r w:rsidRPr="00893864">
              <w:rPr>
                <w:sz w:val="20"/>
                <w:szCs w:val="20"/>
              </w:rPr>
              <w:t>+5056,6</w:t>
            </w:r>
          </w:p>
        </w:tc>
        <w:tc>
          <w:tcPr>
            <w:tcW w:w="992" w:type="dxa"/>
            <w:vAlign w:val="center"/>
          </w:tcPr>
          <w:p w:rsidR="00FC7835" w:rsidRPr="00893864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 w:rsidRPr="00893864">
              <w:rPr>
                <w:sz w:val="20"/>
                <w:szCs w:val="20"/>
              </w:rPr>
              <w:t>94032,5</w:t>
            </w:r>
          </w:p>
        </w:tc>
        <w:tc>
          <w:tcPr>
            <w:tcW w:w="995" w:type="dxa"/>
            <w:vAlign w:val="center"/>
          </w:tcPr>
          <w:p w:rsidR="00FC7835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418" w:type="dxa"/>
            <w:vAlign w:val="center"/>
          </w:tcPr>
          <w:p w:rsidR="00FC7835" w:rsidRPr="000411FB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4,3</w:t>
            </w:r>
          </w:p>
        </w:tc>
      </w:tr>
      <w:tr w:rsidR="00FC7835" w:rsidRPr="000F208D" w:rsidTr="00FC7835">
        <w:tc>
          <w:tcPr>
            <w:tcW w:w="3526" w:type="dxa"/>
          </w:tcPr>
          <w:p w:rsidR="00FC7835" w:rsidRPr="000E70EF" w:rsidRDefault="00FC7835" w:rsidP="00FC7835">
            <w:pPr>
              <w:pStyle w:val="ConsPlusNormal"/>
              <w:ind w:right="72" w:firstLine="0"/>
              <w:jc w:val="both"/>
              <w:rPr>
                <w:rFonts w:ascii="Times New Roman" w:hAnsi="Times New Roman" w:cs="Times New Roman"/>
              </w:rPr>
            </w:pPr>
            <w:r w:rsidRPr="000E70EF">
              <w:rPr>
                <w:rFonts w:ascii="Times New Roman" w:hAnsi="Times New Roman" w:cs="Times New Roman"/>
              </w:rPr>
              <w:t>1003 «Социальное обеспечение населения»</w:t>
            </w:r>
          </w:p>
        </w:tc>
        <w:tc>
          <w:tcPr>
            <w:tcW w:w="1079" w:type="dxa"/>
            <w:vAlign w:val="center"/>
          </w:tcPr>
          <w:p w:rsidR="00FC7835" w:rsidRPr="00275E0B" w:rsidRDefault="00FC7835" w:rsidP="00FC7835">
            <w:pPr>
              <w:pStyle w:val="a6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698689,9</w:t>
            </w:r>
          </w:p>
        </w:tc>
        <w:tc>
          <w:tcPr>
            <w:tcW w:w="1080" w:type="dxa"/>
            <w:vAlign w:val="center"/>
          </w:tcPr>
          <w:p w:rsidR="00FC7835" w:rsidRPr="00275E0B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546355,3</w:t>
            </w:r>
          </w:p>
        </w:tc>
        <w:tc>
          <w:tcPr>
            <w:tcW w:w="1083" w:type="dxa"/>
            <w:vAlign w:val="center"/>
          </w:tcPr>
          <w:p w:rsidR="00FC7835" w:rsidRPr="00275E0B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-152334,6</w:t>
            </w:r>
          </w:p>
        </w:tc>
        <w:tc>
          <w:tcPr>
            <w:tcW w:w="992" w:type="dxa"/>
            <w:vAlign w:val="center"/>
          </w:tcPr>
          <w:p w:rsidR="00FC7835" w:rsidRPr="000411FB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893864">
              <w:rPr>
                <w:sz w:val="20"/>
                <w:szCs w:val="20"/>
              </w:rPr>
              <w:t>545988,1</w:t>
            </w:r>
          </w:p>
        </w:tc>
        <w:tc>
          <w:tcPr>
            <w:tcW w:w="995" w:type="dxa"/>
          </w:tcPr>
          <w:p w:rsidR="00FC7835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FC7835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418" w:type="dxa"/>
            <w:vAlign w:val="center"/>
          </w:tcPr>
          <w:p w:rsidR="00FC7835" w:rsidRPr="000411FB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367,2</w:t>
            </w:r>
          </w:p>
        </w:tc>
      </w:tr>
      <w:tr w:rsidR="00FC7835" w:rsidRPr="000F208D" w:rsidTr="00FC7835">
        <w:tc>
          <w:tcPr>
            <w:tcW w:w="3526" w:type="dxa"/>
          </w:tcPr>
          <w:p w:rsidR="00FC7835" w:rsidRPr="000E70EF" w:rsidRDefault="00FC7835" w:rsidP="00FC7835">
            <w:pPr>
              <w:pStyle w:val="ConsPlusNormal"/>
              <w:ind w:right="72" w:firstLine="0"/>
              <w:jc w:val="both"/>
              <w:rPr>
                <w:rFonts w:ascii="Times New Roman" w:hAnsi="Times New Roman" w:cs="Times New Roman"/>
              </w:rPr>
            </w:pPr>
            <w:r w:rsidRPr="000E70EF">
              <w:rPr>
                <w:rFonts w:ascii="Times New Roman" w:hAnsi="Times New Roman" w:cs="Times New Roman"/>
              </w:rPr>
              <w:t>1004 «Охрана семьи и детства»</w:t>
            </w:r>
          </w:p>
        </w:tc>
        <w:tc>
          <w:tcPr>
            <w:tcW w:w="1079" w:type="dxa"/>
            <w:vAlign w:val="center"/>
          </w:tcPr>
          <w:p w:rsidR="00FC7835" w:rsidRPr="00275E0B" w:rsidRDefault="00FC7835" w:rsidP="00FC7835">
            <w:pPr>
              <w:pStyle w:val="a6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720672,0</w:t>
            </w:r>
          </w:p>
        </w:tc>
        <w:tc>
          <w:tcPr>
            <w:tcW w:w="1080" w:type="dxa"/>
            <w:vAlign w:val="center"/>
          </w:tcPr>
          <w:p w:rsidR="00FC7835" w:rsidRPr="00275E0B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726646,5</w:t>
            </w:r>
          </w:p>
        </w:tc>
        <w:tc>
          <w:tcPr>
            <w:tcW w:w="1083" w:type="dxa"/>
            <w:vAlign w:val="center"/>
          </w:tcPr>
          <w:p w:rsidR="00FC7835" w:rsidRPr="00275E0B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+5974,5</w:t>
            </w:r>
          </w:p>
        </w:tc>
        <w:tc>
          <w:tcPr>
            <w:tcW w:w="992" w:type="dxa"/>
            <w:vAlign w:val="center"/>
          </w:tcPr>
          <w:p w:rsidR="00FC7835" w:rsidRPr="000411FB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D021C2">
              <w:rPr>
                <w:sz w:val="20"/>
                <w:szCs w:val="20"/>
              </w:rPr>
              <w:t>725558,3</w:t>
            </w:r>
          </w:p>
        </w:tc>
        <w:tc>
          <w:tcPr>
            <w:tcW w:w="995" w:type="dxa"/>
          </w:tcPr>
          <w:p w:rsidR="00FC7835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418" w:type="dxa"/>
            <w:vAlign w:val="center"/>
          </w:tcPr>
          <w:p w:rsidR="00FC7835" w:rsidRPr="000411FB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1088,2</w:t>
            </w:r>
          </w:p>
        </w:tc>
      </w:tr>
      <w:tr w:rsidR="00FC7835" w:rsidRPr="000F208D" w:rsidTr="00FC7835">
        <w:tc>
          <w:tcPr>
            <w:tcW w:w="3526" w:type="dxa"/>
          </w:tcPr>
          <w:p w:rsidR="00FC7835" w:rsidRPr="000E70EF" w:rsidRDefault="00FC7835" w:rsidP="00FC7835">
            <w:pPr>
              <w:pStyle w:val="ConsPlusNormal"/>
              <w:ind w:right="72" w:firstLine="0"/>
              <w:jc w:val="both"/>
              <w:rPr>
                <w:rFonts w:ascii="Times New Roman" w:hAnsi="Times New Roman" w:cs="Times New Roman"/>
              </w:rPr>
            </w:pPr>
            <w:r w:rsidRPr="000E70EF">
              <w:rPr>
                <w:rFonts w:ascii="Times New Roman" w:hAnsi="Times New Roman" w:cs="Times New Roman"/>
              </w:rPr>
              <w:t>1006 «Другие вопросы в области социальной политики»</w:t>
            </w:r>
          </w:p>
        </w:tc>
        <w:tc>
          <w:tcPr>
            <w:tcW w:w="1079" w:type="dxa"/>
            <w:vAlign w:val="center"/>
          </w:tcPr>
          <w:p w:rsidR="00FC7835" w:rsidRPr="0000401B" w:rsidRDefault="00FC7835" w:rsidP="00FC7835">
            <w:pPr>
              <w:pStyle w:val="2"/>
              <w:spacing w:after="0" w:line="240" w:lineRule="auto"/>
              <w:ind w:left="-108" w:right="-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64492,2</w:t>
            </w:r>
          </w:p>
        </w:tc>
        <w:tc>
          <w:tcPr>
            <w:tcW w:w="1080" w:type="dxa"/>
            <w:vAlign w:val="center"/>
          </w:tcPr>
          <w:p w:rsidR="00FC7835" w:rsidRPr="00822AC5" w:rsidRDefault="00FC7835" w:rsidP="00FC7835">
            <w:pPr>
              <w:pStyle w:val="2"/>
              <w:spacing w:after="0" w:line="240" w:lineRule="auto"/>
              <w:ind w:left="0" w:right="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63547,9</w:t>
            </w:r>
          </w:p>
        </w:tc>
        <w:tc>
          <w:tcPr>
            <w:tcW w:w="1083" w:type="dxa"/>
            <w:vAlign w:val="center"/>
          </w:tcPr>
          <w:p w:rsidR="00FC7835" w:rsidRPr="00822AC5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-944,3</w:t>
            </w:r>
          </w:p>
        </w:tc>
        <w:tc>
          <w:tcPr>
            <w:tcW w:w="992" w:type="dxa"/>
            <w:vAlign w:val="center"/>
          </w:tcPr>
          <w:p w:rsidR="00FC7835" w:rsidRPr="000F208D" w:rsidRDefault="00FC7835" w:rsidP="00FC7835">
            <w:pPr>
              <w:pStyle w:val="2"/>
              <w:spacing w:after="0" w:line="240" w:lineRule="auto"/>
              <w:ind w:left="-108"/>
              <w:jc w:val="right"/>
              <w:rPr>
                <w:sz w:val="20"/>
                <w:szCs w:val="20"/>
                <w:highlight w:val="yellow"/>
              </w:rPr>
            </w:pPr>
            <w:r w:rsidRPr="00D021C2">
              <w:rPr>
                <w:sz w:val="20"/>
                <w:szCs w:val="20"/>
              </w:rPr>
              <w:t>63471,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FC7835" w:rsidRDefault="00FC7835" w:rsidP="00FC7835">
            <w:pPr>
              <w:pStyle w:val="2"/>
              <w:spacing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418" w:type="dxa"/>
            <w:vAlign w:val="center"/>
          </w:tcPr>
          <w:p w:rsidR="00FC7835" w:rsidRPr="000411FB" w:rsidRDefault="00FC7835" w:rsidP="00FC7835">
            <w:pPr>
              <w:pStyle w:val="2"/>
              <w:spacing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FC7835" w:rsidRPr="000F208D" w:rsidTr="00FC7835">
        <w:tc>
          <w:tcPr>
            <w:tcW w:w="3526" w:type="dxa"/>
          </w:tcPr>
          <w:p w:rsidR="00FC7835" w:rsidRPr="000E70EF" w:rsidRDefault="00FC7835" w:rsidP="00FC783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70E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9" w:type="dxa"/>
            <w:vAlign w:val="center"/>
          </w:tcPr>
          <w:p w:rsidR="00FC7835" w:rsidRPr="0000401B" w:rsidRDefault="00FC7835" w:rsidP="00FC7835">
            <w:pPr>
              <w:pStyle w:val="2"/>
              <w:spacing w:after="0" w:line="240" w:lineRule="auto"/>
              <w:ind w:left="-108" w:right="-6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1630040,2</w:t>
            </w:r>
          </w:p>
        </w:tc>
        <w:tc>
          <w:tcPr>
            <w:tcW w:w="1080" w:type="dxa"/>
            <w:vAlign w:val="center"/>
          </w:tcPr>
          <w:p w:rsidR="00FC7835" w:rsidRPr="00822AC5" w:rsidRDefault="00FC7835" w:rsidP="00FC7835">
            <w:pPr>
              <w:pStyle w:val="2"/>
              <w:spacing w:after="0" w:line="240" w:lineRule="auto"/>
              <w:ind w:left="0" w:right="-8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1477502,9</w:t>
            </w:r>
          </w:p>
        </w:tc>
        <w:tc>
          <w:tcPr>
            <w:tcW w:w="1083" w:type="dxa"/>
            <w:vAlign w:val="center"/>
          </w:tcPr>
          <w:p w:rsidR="00FC7835" w:rsidRPr="00B55448" w:rsidRDefault="00FC7835" w:rsidP="00FC7835">
            <w:pPr>
              <w:pStyle w:val="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B55448">
              <w:rPr>
                <w:b/>
                <w:sz w:val="20"/>
                <w:szCs w:val="20"/>
              </w:rPr>
              <w:t>-152537,3</w:t>
            </w:r>
          </w:p>
        </w:tc>
        <w:tc>
          <w:tcPr>
            <w:tcW w:w="992" w:type="dxa"/>
            <w:vAlign w:val="center"/>
          </w:tcPr>
          <w:p w:rsidR="00FC7835" w:rsidRPr="00B55448" w:rsidRDefault="00FC7835" w:rsidP="00FC7835">
            <w:pPr>
              <w:pStyle w:val="2"/>
              <w:spacing w:after="0" w:line="240" w:lineRule="auto"/>
              <w:ind w:left="-108"/>
              <w:jc w:val="right"/>
              <w:rPr>
                <w:b/>
                <w:sz w:val="20"/>
                <w:szCs w:val="20"/>
              </w:rPr>
            </w:pPr>
            <w:r w:rsidRPr="00B55448">
              <w:rPr>
                <w:b/>
                <w:sz w:val="20"/>
                <w:szCs w:val="20"/>
              </w:rPr>
              <w:t>1475963,7</w:t>
            </w:r>
          </w:p>
        </w:tc>
        <w:tc>
          <w:tcPr>
            <w:tcW w:w="995" w:type="dxa"/>
          </w:tcPr>
          <w:p w:rsidR="00FC7835" w:rsidRPr="00B55448" w:rsidRDefault="00FC7835" w:rsidP="00FC7835">
            <w:pPr>
              <w:pStyle w:val="2"/>
              <w:spacing w:after="0" w:line="240" w:lineRule="auto"/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418" w:type="dxa"/>
            <w:vAlign w:val="center"/>
          </w:tcPr>
          <w:p w:rsidR="00FC7835" w:rsidRPr="000411FB" w:rsidRDefault="00FC7835" w:rsidP="00FC7835">
            <w:pPr>
              <w:pStyle w:val="2"/>
              <w:spacing w:after="0" w:line="240" w:lineRule="auto"/>
              <w:ind w:left="-108"/>
              <w:jc w:val="right"/>
              <w:rPr>
                <w:b/>
                <w:sz w:val="20"/>
                <w:szCs w:val="20"/>
              </w:rPr>
            </w:pPr>
            <w:r w:rsidRPr="00B55448">
              <w:rPr>
                <w:b/>
                <w:sz w:val="20"/>
                <w:szCs w:val="20"/>
              </w:rPr>
              <w:t>1539,2</w:t>
            </w:r>
          </w:p>
        </w:tc>
      </w:tr>
    </w:tbl>
    <w:p w:rsidR="00FC7835" w:rsidRPr="00996FB2" w:rsidRDefault="00FC7835" w:rsidP="00FC7835">
      <w:pPr>
        <w:spacing w:line="360" w:lineRule="auto"/>
        <w:ind w:firstLine="709"/>
        <w:jc w:val="both"/>
      </w:pPr>
      <w:r w:rsidRPr="00996FB2">
        <w:t xml:space="preserve">Как видно из таблицы, наибольшее изменение бюджетных ассигнований в течение года сложилось по подразделам 1003 «Социальное обеспечение населения», 0707 «Молодёжная политика и оздоровление детей», 1004 «Охрана семьи и детства», 1001 «Пенсионное обеспечение», 1002 «Социальное обслуживание населения». </w:t>
      </w:r>
      <w:r>
        <w:t xml:space="preserve"> Увеличение </w:t>
      </w:r>
      <w:r w:rsidRPr="00996FB2">
        <w:t xml:space="preserve">по подразделу 1004 </w:t>
      </w:r>
      <w:r w:rsidRPr="00996FB2">
        <w:lastRenderedPageBreak/>
        <w:t xml:space="preserve">«Охрана семьи и детства» </w:t>
      </w:r>
      <w:r>
        <w:t>обусловлено</w:t>
      </w:r>
      <w:r w:rsidRPr="00996FB2">
        <w:t xml:space="preserve"> увеличением числа граждан, обратившихся за детскими пособиями и единовременными выплатами;</w:t>
      </w:r>
    </w:p>
    <w:p w:rsidR="00FC7835" w:rsidRPr="00996FB2" w:rsidRDefault="00FC7835" w:rsidP="00FC7835">
      <w:pPr>
        <w:spacing w:line="360" w:lineRule="auto"/>
        <w:ind w:firstLine="709"/>
        <w:jc w:val="both"/>
      </w:pPr>
      <w:r w:rsidRPr="00996FB2">
        <w:t>-</w:t>
      </w:r>
      <w:r w:rsidRPr="00996FB2">
        <w:tab/>
        <w:t>по подразделу 1001 «Пенсионное обеспечение» - увеличением числа граждан, обратившихся за получением доплат к пенсиям;</w:t>
      </w:r>
    </w:p>
    <w:p w:rsidR="00FC7835" w:rsidRPr="00996FB2" w:rsidRDefault="00FC7835" w:rsidP="00FC7835">
      <w:pPr>
        <w:spacing w:line="360" w:lineRule="auto"/>
        <w:ind w:firstLine="709"/>
        <w:jc w:val="both"/>
      </w:pPr>
      <w:r w:rsidRPr="00996FB2">
        <w:t>-</w:t>
      </w:r>
      <w:r w:rsidRPr="00996FB2">
        <w:tab/>
        <w:t>по подразделу 1002 «Социальное обслуживание населения» - увеличением минимального размера оплаты труда  и средней заработной платы отдельных категорий граждан Ростовской области.</w:t>
      </w:r>
    </w:p>
    <w:p w:rsidR="00FC7835" w:rsidRPr="00996FB2" w:rsidRDefault="00FC7835" w:rsidP="00FC7835">
      <w:pPr>
        <w:spacing w:line="360" w:lineRule="auto"/>
        <w:ind w:firstLine="708"/>
        <w:jc w:val="both"/>
      </w:pPr>
      <w:r>
        <w:t>У</w:t>
      </w:r>
      <w:r w:rsidRPr="00996FB2">
        <w:t>меньшение бюджетных ассигнований обусловлено следующим:</w:t>
      </w:r>
    </w:p>
    <w:p w:rsidR="00FC7835" w:rsidRPr="00996FB2" w:rsidRDefault="00FC7835" w:rsidP="00FC7835">
      <w:pPr>
        <w:spacing w:line="360" w:lineRule="auto"/>
        <w:ind w:firstLine="709"/>
        <w:jc w:val="both"/>
      </w:pPr>
      <w:r w:rsidRPr="00996FB2">
        <w:t>- по подразделу 1003 «Социальное обеспечение населения» - уменьшением числа граждан, обратившихся за получением мер социальной поддержки;</w:t>
      </w:r>
    </w:p>
    <w:p w:rsidR="00FC7835" w:rsidRPr="00996FB2" w:rsidRDefault="00FC7835" w:rsidP="00FC7835">
      <w:pPr>
        <w:spacing w:line="360" w:lineRule="auto"/>
        <w:ind w:firstLine="709"/>
        <w:jc w:val="both"/>
      </w:pPr>
      <w:r w:rsidRPr="00996FB2">
        <w:t>-</w:t>
      </w:r>
      <w:r>
        <w:t xml:space="preserve"> </w:t>
      </w:r>
      <w:r w:rsidRPr="00996FB2">
        <w:t>по подразделу 0707 «Молодежная политика и оздоровление детей» - уменьшением числа граждан, обратившихся за получением компенсации за самостоятельно приобретенную путевку;</w:t>
      </w:r>
    </w:p>
    <w:p w:rsidR="00FC7835" w:rsidRPr="00996FB2" w:rsidRDefault="00FC7835" w:rsidP="00FC7835">
      <w:pPr>
        <w:spacing w:line="360" w:lineRule="auto"/>
        <w:ind w:firstLine="709"/>
        <w:jc w:val="both"/>
      </w:pPr>
      <w:r w:rsidRPr="00996FB2">
        <w:t>Неисполнение назначений по расходам составило 1539,2 тыс.руб. или 0,1% от утвержденных бюджетных ассигнований. Наибольшее неисполнение сложилось по подразделам:</w:t>
      </w:r>
    </w:p>
    <w:p w:rsidR="00FC7835" w:rsidRPr="00996FB2" w:rsidRDefault="00FC7835" w:rsidP="00FC7835">
      <w:pPr>
        <w:spacing w:line="360" w:lineRule="auto"/>
        <w:ind w:firstLine="709"/>
        <w:jc w:val="both"/>
      </w:pPr>
      <w:r w:rsidRPr="00996FB2">
        <w:t>-</w:t>
      </w:r>
      <w:r w:rsidRPr="00996FB2">
        <w:tab/>
        <w:t>1004 «Охрана семьи и детства» в связи с тем, что прогнозная заявка потребности на оплату услуг кредитных организаций за зачисление ежемесячных выплат семьям на детей от 3 до 7 лет, единовременных выплат на 3-го ребенка  в 4 квартале 2022 года превысила фактическую потребность;</w:t>
      </w:r>
    </w:p>
    <w:p w:rsidR="00FC7835" w:rsidRPr="00996FB2" w:rsidRDefault="00FC7835" w:rsidP="00FC7835">
      <w:pPr>
        <w:spacing w:line="360" w:lineRule="auto"/>
        <w:ind w:firstLine="709"/>
        <w:jc w:val="both"/>
      </w:pPr>
      <w:r w:rsidRPr="00996FB2">
        <w:t>-</w:t>
      </w:r>
      <w:r w:rsidRPr="00996FB2">
        <w:tab/>
        <w:t>1003 «Социальное обеспечение населения» - в результате перечисления межбюджетных трансфертов в пределах сумм, необходимых для оплаты денежных обязательств по расходам на компенсацию оплаты жилищно-коммунальных услуг.</w:t>
      </w:r>
    </w:p>
    <w:p w:rsidR="00FC7835" w:rsidRDefault="00FC7835" w:rsidP="00FC7835">
      <w:pPr>
        <w:spacing w:line="360" w:lineRule="auto"/>
        <w:ind w:firstLine="709"/>
        <w:jc w:val="both"/>
      </w:pPr>
      <w:r>
        <w:t>Наибольшее у</w:t>
      </w:r>
      <w:r w:rsidRPr="00590C99">
        <w:t xml:space="preserve">меньшение плановых назначений </w:t>
      </w:r>
      <w:r w:rsidRPr="00A4376A">
        <w:t>связанно по подразделам:</w:t>
      </w:r>
    </w:p>
    <w:p w:rsidR="00FC7835" w:rsidRDefault="00FC7835" w:rsidP="00FC7835">
      <w:pPr>
        <w:spacing w:line="360" w:lineRule="auto"/>
        <w:ind w:firstLine="709"/>
        <w:jc w:val="both"/>
      </w:pPr>
      <w:r w:rsidRPr="00A4376A">
        <w:t xml:space="preserve">0707 «Молодёжная политика и оздоровление детей» - по приобретению путевок для оздоровления детей, </w:t>
      </w:r>
    </w:p>
    <w:p w:rsidR="00FC7835" w:rsidRPr="00FE13EC" w:rsidRDefault="00FC7835" w:rsidP="00FC7835">
      <w:pPr>
        <w:spacing w:line="360" w:lineRule="auto"/>
        <w:ind w:firstLine="709"/>
        <w:jc w:val="both"/>
      </w:pPr>
      <w:r w:rsidRPr="00A4376A">
        <w:t xml:space="preserve"> 1003 «Социальное обеспечение населения» в связи с</w:t>
      </w:r>
      <w:r>
        <w:t xml:space="preserve"> уменьшением количества </w:t>
      </w:r>
      <w:r w:rsidRPr="00FE13EC">
        <w:t xml:space="preserve">получателей. </w:t>
      </w:r>
    </w:p>
    <w:p w:rsidR="00FC7835" w:rsidRPr="00FE13EC" w:rsidRDefault="00FC7835" w:rsidP="00FC7835">
      <w:pPr>
        <w:autoSpaceDE w:val="0"/>
        <w:autoSpaceDN w:val="0"/>
        <w:adjustRightInd w:val="0"/>
        <w:spacing w:before="60" w:line="360" w:lineRule="auto"/>
        <w:ind w:firstLine="720"/>
        <w:jc w:val="both"/>
      </w:pPr>
      <w:r w:rsidRPr="00FE13EC">
        <w:t>Неисполнение назначений по расходам составило 1539,2 тыс.руб. или 0,1% от утвержденных лимитов бюджетных обязательств.</w:t>
      </w:r>
    </w:p>
    <w:p w:rsidR="00FC7835" w:rsidRPr="00FE13EC" w:rsidRDefault="00FC7835" w:rsidP="00FC7835">
      <w:pPr>
        <w:autoSpaceDE w:val="0"/>
        <w:autoSpaceDN w:val="0"/>
        <w:adjustRightInd w:val="0"/>
        <w:spacing w:before="60" w:line="360" w:lineRule="auto"/>
        <w:ind w:firstLine="720"/>
        <w:jc w:val="both"/>
      </w:pPr>
      <w:r w:rsidRPr="00FE13EC">
        <w:t>Наибольшее неисполнение сложилось по подразделу 1003 «Социальное обеспечение населения» что, в основном, связано с перечислением межбюджетных трансфертов в пределах сумм, необходимых для оплаты денежных обязательств по расходам на компенсацию оплаты жилищно-коммунальных услуг.</w:t>
      </w:r>
    </w:p>
    <w:p w:rsidR="00FC7835" w:rsidRPr="00FE13EC" w:rsidRDefault="00FC7835" w:rsidP="00FC7835">
      <w:pPr>
        <w:autoSpaceDE w:val="0"/>
        <w:autoSpaceDN w:val="0"/>
        <w:adjustRightInd w:val="0"/>
        <w:spacing w:before="60" w:line="360" w:lineRule="auto"/>
        <w:ind w:firstLine="720"/>
        <w:jc w:val="both"/>
      </w:pPr>
      <w:r w:rsidRPr="00FE13EC">
        <w:t>Неисполнение по подразделу 1004 «Охрана семьи и детства» связано что прогнозная заявка потребности на предоставление ежемесячной выплаты в связи с рождением (усыновлением) первого ребенка в 4 квартале 2022 года превысила фактическую потребность.</w:t>
      </w:r>
    </w:p>
    <w:p w:rsidR="00FC7835" w:rsidRDefault="00FC7835" w:rsidP="00FC7835">
      <w:pPr>
        <w:spacing w:line="360" w:lineRule="auto"/>
        <w:ind w:firstLine="539"/>
        <w:jc w:val="both"/>
      </w:pPr>
      <w:r w:rsidRPr="00103E14">
        <w:lastRenderedPageBreak/>
        <w:t xml:space="preserve">  </w:t>
      </w:r>
      <w:r w:rsidRPr="00F96381">
        <w:t>В рамках реализации муниципальной программы «Социальная поддержка граждан Волгодонска» за счет средств федерального бюджета произведены</w:t>
      </w:r>
      <w:r>
        <w:t xml:space="preserve"> :</w:t>
      </w:r>
    </w:p>
    <w:p w:rsidR="00FC7835" w:rsidRDefault="00FC7835" w:rsidP="00FC7835">
      <w:pPr>
        <w:spacing w:line="360" w:lineRule="auto"/>
        <w:ind w:firstLine="539"/>
        <w:jc w:val="both"/>
      </w:pPr>
      <w:r>
        <w:t xml:space="preserve">- </w:t>
      </w:r>
      <w:r w:rsidRPr="00F96381">
        <w:t xml:space="preserve">выплаты по оплате жилищно-коммунальных услуг отдельным категориям граждан  –  </w:t>
      </w:r>
      <w:r>
        <w:t>98 904 654,75</w:t>
      </w:r>
      <w:r w:rsidRPr="00F96381">
        <w:t xml:space="preserve"> рубл</w:t>
      </w:r>
      <w:r>
        <w:t>ей</w:t>
      </w:r>
      <w:r w:rsidRPr="00F96381">
        <w:t xml:space="preserve">, </w:t>
      </w:r>
    </w:p>
    <w:p w:rsidR="00FC7835" w:rsidRDefault="00FC7835" w:rsidP="00FC7835">
      <w:pPr>
        <w:spacing w:line="360" w:lineRule="auto"/>
        <w:ind w:firstLine="539"/>
        <w:jc w:val="both"/>
      </w:pPr>
      <w:r>
        <w:t xml:space="preserve">-     выплаты </w:t>
      </w:r>
      <w:r w:rsidRPr="00F96381">
        <w:t>семьям, имеющим детей и проживающим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-</w:t>
      </w:r>
      <w:r>
        <w:t xml:space="preserve">74 792 568,30 </w:t>
      </w:r>
      <w:r w:rsidRPr="00F96381">
        <w:t xml:space="preserve">рублей, </w:t>
      </w:r>
    </w:p>
    <w:p w:rsidR="00FC7835" w:rsidRDefault="00FC7835" w:rsidP="00FC7835">
      <w:pPr>
        <w:spacing w:line="360" w:lineRule="auto"/>
        <w:ind w:firstLine="539"/>
        <w:jc w:val="both"/>
      </w:pPr>
      <w:r>
        <w:t xml:space="preserve">- выплаты </w:t>
      </w:r>
      <w:r w:rsidRPr="00F96381">
        <w:t xml:space="preserve">мер социальной поддержки для лиц, награжденных знаком «Почетный донор России», «Почетный донор СССР», - </w:t>
      </w:r>
      <w:r>
        <w:t>12 669 9876,84</w:t>
      </w:r>
      <w:r w:rsidRPr="00F96381">
        <w:t xml:space="preserve"> рубл</w:t>
      </w:r>
      <w:r>
        <w:t>ей,</w:t>
      </w:r>
    </w:p>
    <w:p w:rsidR="00FC7835" w:rsidRDefault="00FC7835" w:rsidP="00FC7835">
      <w:pPr>
        <w:spacing w:line="360" w:lineRule="auto"/>
        <w:ind w:firstLine="539"/>
        <w:jc w:val="both"/>
      </w:pPr>
      <w:r>
        <w:t xml:space="preserve">- </w:t>
      </w:r>
      <w:r w:rsidRPr="00917730">
        <w:t>ежемесячной выплаты в связи с рождением (усыновлением) первого ребенка</w:t>
      </w:r>
      <w:r>
        <w:t xml:space="preserve"> -139 608 942,73 рублей,</w:t>
      </w:r>
    </w:p>
    <w:p w:rsidR="00FC7835" w:rsidRDefault="00FC7835" w:rsidP="00FC7835">
      <w:pPr>
        <w:spacing w:line="360" w:lineRule="auto"/>
        <w:ind w:firstLine="539"/>
        <w:jc w:val="both"/>
      </w:pPr>
      <w:r>
        <w:t>- ежемесячной выплаты на детей в возрасте от трех до семи лет включительно – 396 062 100,00 рублей.</w:t>
      </w:r>
    </w:p>
    <w:p w:rsidR="00DF4302" w:rsidRPr="00DF4302" w:rsidRDefault="00500AE1" w:rsidP="00DF4302">
      <w:pPr>
        <w:spacing w:line="360" w:lineRule="auto"/>
        <w:ind w:firstLine="539"/>
        <w:jc w:val="both"/>
      </w:pPr>
      <w:r w:rsidRPr="00123ABB">
        <w:t xml:space="preserve">Решением № </w:t>
      </w:r>
      <w:r w:rsidRPr="00DF4302">
        <w:t>1</w:t>
      </w:r>
      <w:r w:rsidR="00DF4302" w:rsidRPr="00DF4302">
        <w:t>1</w:t>
      </w:r>
      <w:r w:rsidRPr="00DF4302">
        <w:t xml:space="preserve">0 </w:t>
      </w:r>
      <w:r w:rsidR="00DF4302" w:rsidRPr="00DF4302">
        <w:t>Департаменту</w:t>
      </w:r>
      <w:r w:rsidR="00FC7835">
        <w:t xml:space="preserve"> на 2023 год были </w:t>
      </w:r>
      <w:r w:rsidR="00DF4302" w:rsidRPr="00DF4302">
        <w:t xml:space="preserve">утверждены бюджетные назначения по расходам в сумме </w:t>
      </w:r>
      <w:r w:rsidR="00FC7835">
        <w:t>1269794,3</w:t>
      </w:r>
      <w:r w:rsidR="00DF4302" w:rsidRPr="00DF4302">
        <w:t xml:space="preserve"> тыс.руб. В течение года плановые назначения были уменьшены на </w:t>
      </w:r>
      <w:r w:rsidR="001C3755">
        <w:t>114257,8</w:t>
      </w:r>
      <w:r w:rsidR="00DF4302" w:rsidRPr="00DF4302">
        <w:t xml:space="preserve"> тыс.руб. и составили на 31.12.202</w:t>
      </w:r>
      <w:r w:rsidR="001C3755">
        <w:t>3</w:t>
      </w:r>
      <w:r w:rsidR="00DF4302" w:rsidRPr="00DF4302">
        <w:t xml:space="preserve">г. </w:t>
      </w:r>
      <w:r w:rsidR="001C3755">
        <w:t>1155536,5</w:t>
      </w:r>
      <w:r w:rsidR="00DF4302" w:rsidRPr="00DF4302">
        <w:t xml:space="preserve"> тыс.руб</w:t>
      </w:r>
      <w:r w:rsidRPr="00123ABB">
        <w:t xml:space="preserve">. </w:t>
      </w:r>
      <w:r w:rsidR="00DF4302" w:rsidRPr="00DF4302">
        <w:t>Исполнение расходной части бюджета за 202</w:t>
      </w:r>
      <w:r w:rsidR="001C3755">
        <w:t>3</w:t>
      </w:r>
      <w:r w:rsidR="00DF4302" w:rsidRPr="00DF4302">
        <w:t xml:space="preserve"> год составило </w:t>
      </w:r>
      <w:r w:rsidR="001C3755">
        <w:t>1154096,2</w:t>
      </w:r>
      <w:r w:rsidR="00DF4302" w:rsidRPr="00DF4302">
        <w:t xml:space="preserve"> тыс.руб. или 99,9% от утвержденных бюджетных назначений. </w:t>
      </w:r>
    </w:p>
    <w:p w:rsidR="00500AE1" w:rsidRDefault="00500AE1" w:rsidP="00123ABB">
      <w:pPr>
        <w:spacing w:line="360" w:lineRule="auto"/>
        <w:ind w:firstLine="539"/>
        <w:jc w:val="both"/>
      </w:pPr>
      <w:r w:rsidRPr="00123ABB">
        <w:t>Объемы утвержденных бюджетных назначений и финансирования Департамента в 202</w:t>
      </w:r>
      <w:r w:rsidR="001C3755">
        <w:t>3</w:t>
      </w:r>
      <w:r w:rsidRPr="00123ABB">
        <w:t>г. в разрезе подразделов функциональной классификации расходов  приведены в таблице:</w:t>
      </w:r>
    </w:p>
    <w:p w:rsidR="00DF4302" w:rsidRDefault="00DF4302" w:rsidP="00DF4302">
      <w:pPr>
        <w:tabs>
          <w:tab w:val="left" w:pos="9216"/>
        </w:tabs>
        <w:spacing w:line="360" w:lineRule="auto"/>
        <w:ind w:firstLine="539"/>
        <w:jc w:val="both"/>
      </w:pPr>
      <w:r>
        <w:tab/>
      </w:r>
      <w:r w:rsidRPr="007900F5">
        <w:rPr>
          <w:sz w:val="20"/>
          <w:szCs w:val="20"/>
        </w:rPr>
        <w:t>тыс.руб.)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079"/>
        <w:gridCol w:w="1080"/>
        <w:gridCol w:w="1083"/>
        <w:gridCol w:w="992"/>
        <w:gridCol w:w="995"/>
        <w:gridCol w:w="1418"/>
      </w:tblGrid>
      <w:tr w:rsidR="00DF4302" w:rsidRPr="007900F5" w:rsidTr="00DF4302">
        <w:tc>
          <w:tcPr>
            <w:tcW w:w="3526" w:type="dxa"/>
            <w:vMerge w:val="restart"/>
          </w:tcPr>
          <w:p w:rsidR="00DF4302" w:rsidRPr="007900F5" w:rsidRDefault="00DF4302" w:rsidP="00DF4302">
            <w:pPr>
              <w:pStyle w:val="2"/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  <w:p w:rsidR="00DF4302" w:rsidRPr="007900F5" w:rsidRDefault="00DF4302" w:rsidP="00DF430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Подраздел</w:t>
            </w:r>
          </w:p>
        </w:tc>
        <w:tc>
          <w:tcPr>
            <w:tcW w:w="3242" w:type="dxa"/>
            <w:gridSpan w:val="3"/>
          </w:tcPr>
          <w:p w:rsidR="00DF4302" w:rsidRPr="007900F5" w:rsidRDefault="00DF4302" w:rsidP="00DF430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987" w:type="dxa"/>
            <w:gridSpan w:val="2"/>
            <w:vMerge w:val="restart"/>
          </w:tcPr>
          <w:p w:rsidR="00DF4302" w:rsidRPr="007900F5" w:rsidRDefault="00DF4302" w:rsidP="00DF4302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Исполнен</w:t>
            </w:r>
            <w:r>
              <w:rPr>
                <w:sz w:val="20"/>
                <w:szCs w:val="20"/>
              </w:rPr>
              <w:t>ные назначения</w:t>
            </w:r>
          </w:p>
        </w:tc>
        <w:tc>
          <w:tcPr>
            <w:tcW w:w="1418" w:type="dxa"/>
            <w:vMerge w:val="restart"/>
          </w:tcPr>
          <w:p w:rsidR="00DF4302" w:rsidRPr="007900F5" w:rsidRDefault="00DF4302" w:rsidP="00DF4302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 xml:space="preserve">Неисполненные назначения  </w:t>
            </w:r>
          </w:p>
        </w:tc>
      </w:tr>
      <w:tr w:rsidR="00DF4302" w:rsidRPr="007900F5" w:rsidTr="00DF4302">
        <w:trPr>
          <w:trHeight w:val="230"/>
        </w:trPr>
        <w:tc>
          <w:tcPr>
            <w:tcW w:w="3526" w:type="dxa"/>
            <w:vMerge/>
          </w:tcPr>
          <w:p w:rsidR="00DF4302" w:rsidRPr="007900F5" w:rsidRDefault="00DF4302" w:rsidP="00DF430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DF4302" w:rsidRPr="007900F5" w:rsidRDefault="00DF4302" w:rsidP="00DF4302">
            <w:pPr>
              <w:pStyle w:val="2"/>
              <w:spacing w:after="0" w:line="240" w:lineRule="auto"/>
              <w:ind w:left="-108" w:right="-67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на  начало</w:t>
            </w:r>
          </w:p>
          <w:p w:rsidR="00DF4302" w:rsidRPr="007900F5" w:rsidRDefault="00DF4302" w:rsidP="00DF4302">
            <w:pPr>
              <w:pStyle w:val="2"/>
              <w:spacing w:after="0" w:line="240" w:lineRule="auto"/>
              <w:ind w:left="-108" w:right="-67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80" w:type="dxa"/>
            <w:vMerge w:val="restart"/>
          </w:tcPr>
          <w:p w:rsidR="00DF4302" w:rsidRPr="007900F5" w:rsidRDefault="00DF4302" w:rsidP="00DF4302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 xml:space="preserve">на конец </w:t>
            </w:r>
          </w:p>
          <w:p w:rsidR="00DF4302" w:rsidRPr="007900F5" w:rsidRDefault="00DF4302" w:rsidP="00DF4302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года</w:t>
            </w:r>
          </w:p>
        </w:tc>
        <w:tc>
          <w:tcPr>
            <w:tcW w:w="1083" w:type="dxa"/>
            <w:vMerge w:val="restart"/>
          </w:tcPr>
          <w:p w:rsidR="00DF4302" w:rsidRPr="007900F5" w:rsidRDefault="00DF4302" w:rsidP="00DF4302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 xml:space="preserve">изменение </w:t>
            </w:r>
          </w:p>
          <w:p w:rsidR="00DF4302" w:rsidRPr="007900F5" w:rsidRDefault="00DF4302" w:rsidP="00DF4302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(+, -)</w:t>
            </w:r>
          </w:p>
        </w:tc>
        <w:tc>
          <w:tcPr>
            <w:tcW w:w="1987" w:type="dxa"/>
            <w:gridSpan w:val="2"/>
            <w:vMerge/>
          </w:tcPr>
          <w:p w:rsidR="00DF4302" w:rsidRPr="007900F5" w:rsidRDefault="00DF4302" w:rsidP="00DF430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4302" w:rsidRPr="007900F5" w:rsidRDefault="00DF4302" w:rsidP="00DF430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302" w:rsidRPr="007900F5" w:rsidTr="00DF4302">
        <w:tc>
          <w:tcPr>
            <w:tcW w:w="3526" w:type="dxa"/>
            <w:vMerge/>
          </w:tcPr>
          <w:p w:rsidR="00DF4302" w:rsidRPr="007900F5" w:rsidRDefault="00DF4302" w:rsidP="00DF430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DF4302" w:rsidRPr="007900F5" w:rsidRDefault="00DF4302" w:rsidP="00DF4302">
            <w:pPr>
              <w:pStyle w:val="2"/>
              <w:spacing w:after="0" w:line="240" w:lineRule="auto"/>
              <w:ind w:left="-108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4302" w:rsidRPr="007900F5" w:rsidRDefault="00DF4302" w:rsidP="00DF4302">
            <w:pPr>
              <w:pStyle w:val="2"/>
              <w:spacing w:after="0" w:line="240" w:lineRule="auto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F4302" w:rsidRPr="007900F5" w:rsidRDefault="00DF4302" w:rsidP="00DF4302">
            <w:pPr>
              <w:pStyle w:val="2"/>
              <w:spacing w:after="0" w:line="240" w:lineRule="auto"/>
              <w:ind w:left="-13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4302" w:rsidRPr="007900F5" w:rsidRDefault="00DF4302" w:rsidP="00DF4302">
            <w:pPr>
              <w:pStyle w:val="2"/>
              <w:spacing w:after="0" w:line="240" w:lineRule="auto"/>
              <w:ind w:left="-10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5" w:type="dxa"/>
          </w:tcPr>
          <w:p w:rsidR="00DF4302" w:rsidRPr="007900F5" w:rsidRDefault="00DF4302" w:rsidP="00DF4302">
            <w:pPr>
              <w:pStyle w:val="2"/>
              <w:spacing w:after="0" w:line="240" w:lineRule="auto"/>
              <w:ind w:left="-10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DF4302" w:rsidRPr="007900F5" w:rsidRDefault="00DF4302" w:rsidP="00DF4302">
            <w:pPr>
              <w:pStyle w:val="2"/>
              <w:spacing w:after="0" w:line="240" w:lineRule="auto"/>
              <w:ind w:left="-108" w:right="-118"/>
              <w:jc w:val="center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сумма</w:t>
            </w:r>
          </w:p>
        </w:tc>
      </w:tr>
      <w:tr w:rsidR="00DF4302" w:rsidRPr="000F208D" w:rsidTr="00DF4302">
        <w:tc>
          <w:tcPr>
            <w:tcW w:w="3526" w:type="dxa"/>
          </w:tcPr>
          <w:p w:rsidR="00DF4302" w:rsidRPr="007900F5" w:rsidRDefault="00DF4302" w:rsidP="00DF4302">
            <w:pPr>
              <w:pStyle w:val="2"/>
              <w:spacing w:after="0" w:line="240" w:lineRule="auto"/>
              <w:ind w:left="0" w:right="72"/>
              <w:jc w:val="both"/>
              <w:rPr>
                <w:sz w:val="20"/>
                <w:szCs w:val="20"/>
              </w:rPr>
            </w:pPr>
            <w:r w:rsidRPr="007900F5">
              <w:rPr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079" w:type="dxa"/>
            <w:vAlign w:val="center"/>
          </w:tcPr>
          <w:p w:rsidR="00DF4302" w:rsidRPr="0000401B" w:rsidRDefault="00DF4302" w:rsidP="001C375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345,</w:t>
            </w:r>
            <w:r w:rsidR="001C375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80" w:type="dxa"/>
            <w:vAlign w:val="center"/>
          </w:tcPr>
          <w:p w:rsidR="00DF4302" w:rsidRPr="00442D1D" w:rsidRDefault="001C3755" w:rsidP="00DF4302">
            <w:pPr>
              <w:pStyle w:val="ConsPlusTitle"/>
              <w:ind w:left="-108" w:firstLine="108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84,0</w:t>
            </w:r>
          </w:p>
        </w:tc>
        <w:tc>
          <w:tcPr>
            <w:tcW w:w="1083" w:type="dxa"/>
            <w:vAlign w:val="center"/>
          </w:tcPr>
          <w:p w:rsidR="00DF4302" w:rsidRPr="00442D1D" w:rsidRDefault="001C3755" w:rsidP="001C3755">
            <w:pPr>
              <w:pStyle w:val="ConsPlusTitle"/>
              <w:ind w:left="-13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-261,2</w:t>
            </w:r>
          </w:p>
        </w:tc>
        <w:tc>
          <w:tcPr>
            <w:tcW w:w="992" w:type="dxa"/>
            <w:vAlign w:val="center"/>
          </w:tcPr>
          <w:p w:rsidR="00DF4302" w:rsidRPr="007900F5" w:rsidRDefault="001C3755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83,8</w:t>
            </w:r>
          </w:p>
        </w:tc>
        <w:tc>
          <w:tcPr>
            <w:tcW w:w="995" w:type="dxa"/>
            <w:vAlign w:val="center"/>
          </w:tcPr>
          <w:p w:rsidR="00DF4302" w:rsidRDefault="00DF4302" w:rsidP="001C375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99,</w:t>
            </w:r>
            <w:r w:rsidR="001C375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418" w:type="dxa"/>
            <w:vAlign w:val="center"/>
          </w:tcPr>
          <w:p w:rsidR="00DF4302" w:rsidRPr="00755AEF" w:rsidRDefault="00DF4302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0,2</w:t>
            </w:r>
          </w:p>
        </w:tc>
      </w:tr>
      <w:tr w:rsidR="00DF4302" w:rsidRPr="000F208D" w:rsidTr="00DF4302">
        <w:tc>
          <w:tcPr>
            <w:tcW w:w="3526" w:type="dxa"/>
          </w:tcPr>
          <w:p w:rsidR="00DF4302" w:rsidRPr="000E70EF" w:rsidRDefault="00DF4302" w:rsidP="00DF4302">
            <w:pPr>
              <w:pStyle w:val="2"/>
              <w:spacing w:after="0" w:line="240" w:lineRule="auto"/>
              <w:ind w:left="0" w:right="72"/>
              <w:jc w:val="both"/>
              <w:rPr>
                <w:sz w:val="20"/>
                <w:szCs w:val="20"/>
              </w:rPr>
            </w:pPr>
            <w:r w:rsidRPr="000E70EF">
              <w:rPr>
                <w:sz w:val="20"/>
                <w:szCs w:val="2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079" w:type="dxa"/>
            <w:vAlign w:val="center"/>
          </w:tcPr>
          <w:p w:rsidR="00DF4302" w:rsidRPr="0000401B" w:rsidRDefault="00DF4302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22,8</w:t>
            </w:r>
          </w:p>
        </w:tc>
        <w:tc>
          <w:tcPr>
            <w:tcW w:w="1080" w:type="dxa"/>
            <w:vAlign w:val="center"/>
          </w:tcPr>
          <w:p w:rsidR="00DF4302" w:rsidRPr="00442D1D" w:rsidRDefault="00DF4302" w:rsidP="001C3755">
            <w:pPr>
              <w:pStyle w:val="ConsPlusTitle"/>
              <w:ind w:left="-108" w:firstLine="108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</w:t>
            </w:r>
            <w:r w:rsidR="001C3755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83" w:type="dxa"/>
            <w:vAlign w:val="center"/>
          </w:tcPr>
          <w:p w:rsidR="00DF4302" w:rsidRPr="00442D1D" w:rsidRDefault="00DF4302" w:rsidP="001C3755">
            <w:pPr>
              <w:pStyle w:val="ConsPlusTitle"/>
              <w:ind w:left="-13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-2,</w:t>
            </w:r>
            <w:r w:rsidR="001C375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92" w:type="dxa"/>
            <w:vAlign w:val="center"/>
          </w:tcPr>
          <w:p w:rsidR="00DF4302" w:rsidRPr="00442D1D" w:rsidRDefault="00DF4302" w:rsidP="001C375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</w:t>
            </w:r>
            <w:r w:rsidR="001C375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95" w:type="dxa"/>
          </w:tcPr>
          <w:p w:rsidR="00DF4302" w:rsidRDefault="00DF4302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DF4302" w:rsidRDefault="001C3755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99,5</w:t>
            </w:r>
          </w:p>
        </w:tc>
        <w:tc>
          <w:tcPr>
            <w:tcW w:w="1418" w:type="dxa"/>
            <w:vAlign w:val="center"/>
          </w:tcPr>
          <w:p w:rsidR="00DF4302" w:rsidRPr="00755AEF" w:rsidRDefault="001C3755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</w:tr>
      <w:tr w:rsidR="00DF4302" w:rsidRPr="000F208D" w:rsidTr="00DF4302">
        <w:tc>
          <w:tcPr>
            <w:tcW w:w="3526" w:type="dxa"/>
          </w:tcPr>
          <w:p w:rsidR="00DF4302" w:rsidRPr="00061559" w:rsidRDefault="00DF4302" w:rsidP="001C3755">
            <w:pPr>
              <w:pStyle w:val="2"/>
              <w:spacing w:after="0" w:line="240" w:lineRule="auto"/>
              <w:ind w:left="0" w:right="72"/>
              <w:jc w:val="both"/>
              <w:rPr>
                <w:sz w:val="20"/>
                <w:szCs w:val="20"/>
              </w:rPr>
            </w:pPr>
            <w:r w:rsidRPr="00061559">
              <w:rPr>
                <w:sz w:val="20"/>
                <w:szCs w:val="20"/>
              </w:rPr>
              <w:t>070</w:t>
            </w:r>
            <w:r w:rsidR="001C3755">
              <w:rPr>
                <w:sz w:val="20"/>
                <w:szCs w:val="20"/>
              </w:rPr>
              <w:t>9</w:t>
            </w:r>
            <w:r w:rsidRPr="00061559">
              <w:rPr>
                <w:sz w:val="20"/>
                <w:szCs w:val="20"/>
              </w:rPr>
              <w:t xml:space="preserve"> «Молодёжная политика и оздоровление детей»</w:t>
            </w:r>
          </w:p>
        </w:tc>
        <w:tc>
          <w:tcPr>
            <w:tcW w:w="1079" w:type="dxa"/>
            <w:vAlign w:val="center"/>
          </w:tcPr>
          <w:p w:rsidR="00DF4302" w:rsidRPr="00061559" w:rsidRDefault="001C3755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45879,5</w:t>
            </w:r>
          </w:p>
        </w:tc>
        <w:tc>
          <w:tcPr>
            <w:tcW w:w="1080" w:type="dxa"/>
            <w:vAlign w:val="center"/>
          </w:tcPr>
          <w:p w:rsidR="00DF4302" w:rsidRPr="00061559" w:rsidRDefault="001C3755" w:rsidP="00DF4302">
            <w:pPr>
              <w:pStyle w:val="ConsPlusTitle"/>
              <w:ind w:left="-108" w:firstLine="108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28355,5</w:t>
            </w:r>
          </w:p>
        </w:tc>
        <w:tc>
          <w:tcPr>
            <w:tcW w:w="1083" w:type="dxa"/>
            <w:vAlign w:val="center"/>
          </w:tcPr>
          <w:p w:rsidR="00DF4302" w:rsidRPr="00061559" w:rsidRDefault="00DF4302" w:rsidP="001C3755">
            <w:pPr>
              <w:pStyle w:val="ConsPlusTitle"/>
              <w:ind w:left="-130"/>
              <w:jc w:val="right"/>
              <w:rPr>
                <w:rFonts w:ascii="Times New Roman" w:hAnsi="Times New Roman" w:cs="Times New Roman"/>
                <w:b w:val="0"/>
              </w:rPr>
            </w:pPr>
            <w:r w:rsidRPr="00061559">
              <w:rPr>
                <w:rFonts w:ascii="Times New Roman" w:hAnsi="Times New Roman" w:cs="Times New Roman"/>
                <w:b w:val="0"/>
              </w:rPr>
              <w:t>-</w:t>
            </w:r>
            <w:r w:rsidR="001C3755">
              <w:rPr>
                <w:rFonts w:ascii="Times New Roman" w:hAnsi="Times New Roman" w:cs="Times New Roman"/>
                <w:b w:val="0"/>
              </w:rPr>
              <w:t>17524,0</w:t>
            </w:r>
          </w:p>
        </w:tc>
        <w:tc>
          <w:tcPr>
            <w:tcW w:w="992" w:type="dxa"/>
            <w:vAlign w:val="center"/>
          </w:tcPr>
          <w:p w:rsidR="00DF4302" w:rsidRPr="00061559" w:rsidRDefault="001C3755" w:rsidP="001C375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28353,9</w:t>
            </w:r>
          </w:p>
        </w:tc>
        <w:tc>
          <w:tcPr>
            <w:tcW w:w="995" w:type="dxa"/>
            <w:vAlign w:val="center"/>
          </w:tcPr>
          <w:p w:rsidR="00DF4302" w:rsidRPr="00061559" w:rsidRDefault="00DF4302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99,9</w:t>
            </w:r>
          </w:p>
        </w:tc>
        <w:tc>
          <w:tcPr>
            <w:tcW w:w="1418" w:type="dxa"/>
            <w:vAlign w:val="center"/>
          </w:tcPr>
          <w:p w:rsidR="00DF4302" w:rsidRPr="00061559" w:rsidRDefault="0022322F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1,6</w:t>
            </w:r>
          </w:p>
        </w:tc>
      </w:tr>
      <w:tr w:rsidR="00DF4302" w:rsidRPr="000F208D" w:rsidTr="00DF4302">
        <w:tc>
          <w:tcPr>
            <w:tcW w:w="3526" w:type="dxa"/>
          </w:tcPr>
          <w:p w:rsidR="00DF4302" w:rsidRPr="000E70EF" w:rsidRDefault="00DF4302" w:rsidP="00DF4302">
            <w:pPr>
              <w:pStyle w:val="2"/>
              <w:spacing w:after="0" w:line="240" w:lineRule="auto"/>
              <w:ind w:left="0" w:right="72"/>
              <w:jc w:val="both"/>
              <w:rPr>
                <w:sz w:val="20"/>
                <w:szCs w:val="20"/>
              </w:rPr>
            </w:pPr>
            <w:r w:rsidRPr="000E70EF">
              <w:rPr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079" w:type="dxa"/>
            <w:vAlign w:val="center"/>
          </w:tcPr>
          <w:p w:rsidR="00DF4302" w:rsidRPr="0000401B" w:rsidRDefault="0022322F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12888,6</w:t>
            </w:r>
          </w:p>
        </w:tc>
        <w:tc>
          <w:tcPr>
            <w:tcW w:w="1080" w:type="dxa"/>
            <w:vAlign w:val="center"/>
          </w:tcPr>
          <w:p w:rsidR="00DF4302" w:rsidRPr="00893864" w:rsidRDefault="0022322F" w:rsidP="00DF4302">
            <w:pPr>
              <w:pStyle w:val="ConsPlusTitle"/>
              <w:ind w:left="-108" w:firstLine="108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20071,8</w:t>
            </w:r>
          </w:p>
        </w:tc>
        <w:tc>
          <w:tcPr>
            <w:tcW w:w="1083" w:type="dxa"/>
            <w:vAlign w:val="center"/>
          </w:tcPr>
          <w:p w:rsidR="00DF4302" w:rsidRPr="00893864" w:rsidRDefault="00DF4302" w:rsidP="0022322F">
            <w:pPr>
              <w:pStyle w:val="ConsPlusTitle"/>
              <w:ind w:left="-13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+</w:t>
            </w:r>
            <w:r w:rsidR="0022322F">
              <w:rPr>
                <w:rFonts w:ascii="Times New Roman" w:hAnsi="Times New Roman" w:cs="Times New Roman"/>
                <w:b w:val="0"/>
              </w:rPr>
              <w:t>7183,2</w:t>
            </w:r>
          </w:p>
        </w:tc>
        <w:tc>
          <w:tcPr>
            <w:tcW w:w="992" w:type="dxa"/>
            <w:vAlign w:val="center"/>
          </w:tcPr>
          <w:p w:rsidR="00DF4302" w:rsidRPr="000F208D" w:rsidRDefault="0022322F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20071,5</w:t>
            </w:r>
          </w:p>
        </w:tc>
        <w:tc>
          <w:tcPr>
            <w:tcW w:w="995" w:type="dxa"/>
          </w:tcPr>
          <w:p w:rsidR="00DF4302" w:rsidRDefault="00DF4302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99,9</w:t>
            </w:r>
          </w:p>
        </w:tc>
        <w:tc>
          <w:tcPr>
            <w:tcW w:w="1418" w:type="dxa"/>
            <w:vAlign w:val="center"/>
          </w:tcPr>
          <w:p w:rsidR="00DF4302" w:rsidRPr="000411FB" w:rsidRDefault="00DF4302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</w:p>
        </w:tc>
      </w:tr>
      <w:tr w:rsidR="00DF4302" w:rsidRPr="000411FB" w:rsidTr="00DF4302">
        <w:tc>
          <w:tcPr>
            <w:tcW w:w="3526" w:type="dxa"/>
          </w:tcPr>
          <w:p w:rsidR="00DF4302" w:rsidRPr="000E70EF" w:rsidRDefault="00DF4302" w:rsidP="00DF4302">
            <w:pPr>
              <w:pStyle w:val="2"/>
              <w:spacing w:after="0" w:line="240" w:lineRule="auto"/>
              <w:ind w:left="0" w:right="72"/>
              <w:jc w:val="both"/>
              <w:rPr>
                <w:sz w:val="20"/>
                <w:szCs w:val="20"/>
              </w:rPr>
            </w:pPr>
            <w:r w:rsidRPr="000E70EF">
              <w:rPr>
                <w:sz w:val="20"/>
                <w:szCs w:val="20"/>
              </w:rPr>
              <w:t>1002 «Социальное обслуживание населения»</w:t>
            </w:r>
          </w:p>
        </w:tc>
        <w:tc>
          <w:tcPr>
            <w:tcW w:w="1079" w:type="dxa"/>
            <w:vAlign w:val="center"/>
          </w:tcPr>
          <w:p w:rsidR="00DF4302" w:rsidRPr="00893864" w:rsidRDefault="009F5B06" w:rsidP="00DF43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103874,6</w:t>
            </w:r>
          </w:p>
        </w:tc>
        <w:tc>
          <w:tcPr>
            <w:tcW w:w="1080" w:type="dxa"/>
            <w:vAlign w:val="center"/>
          </w:tcPr>
          <w:p w:rsidR="00DF4302" w:rsidRPr="00893864" w:rsidRDefault="009F5B06" w:rsidP="00DF4302">
            <w:pPr>
              <w:pStyle w:val="ConsPlusTitle"/>
              <w:ind w:left="-108" w:firstLine="108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105212,8</w:t>
            </w:r>
          </w:p>
        </w:tc>
        <w:tc>
          <w:tcPr>
            <w:tcW w:w="1083" w:type="dxa"/>
            <w:vAlign w:val="center"/>
          </w:tcPr>
          <w:p w:rsidR="00DF4302" w:rsidRPr="00893864" w:rsidRDefault="00DF4302" w:rsidP="009F5B06">
            <w:pPr>
              <w:pStyle w:val="2"/>
              <w:spacing w:after="0" w:line="240" w:lineRule="auto"/>
              <w:ind w:left="-130"/>
              <w:jc w:val="right"/>
              <w:rPr>
                <w:sz w:val="20"/>
                <w:szCs w:val="20"/>
              </w:rPr>
            </w:pPr>
            <w:r w:rsidRPr="00893864">
              <w:rPr>
                <w:sz w:val="20"/>
                <w:szCs w:val="20"/>
              </w:rPr>
              <w:t>+</w:t>
            </w:r>
            <w:r w:rsidR="009F5B06">
              <w:rPr>
                <w:sz w:val="20"/>
                <w:szCs w:val="20"/>
              </w:rPr>
              <w:t>1338,2</w:t>
            </w:r>
          </w:p>
        </w:tc>
        <w:tc>
          <w:tcPr>
            <w:tcW w:w="992" w:type="dxa"/>
            <w:vAlign w:val="center"/>
          </w:tcPr>
          <w:p w:rsidR="00DF4302" w:rsidRPr="00893864" w:rsidRDefault="009F5B06" w:rsidP="00DF4302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104876,8</w:t>
            </w:r>
          </w:p>
        </w:tc>
        <w:tc>
          <w:tcPr>
            <w:tcW w:w="995" w:type="dxa"/>
            <w:vAlign w:val="center"/>
          </w:tcPr>
          <w:p w:rsidR="00DF4302" w:rsidRDefault="00DF4302" w:rsidP="009F5B06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F5B06">
              <w:rPr>
                <w:sz w:val="20"/>
                <w:szCs w:val="20"/>
              </w:rPr>
              <w:t>,7</w:t>
            </w:r>
          </w:p>
        </w:tc>
        <w:tc>
          <w:tcPr>
            <w:tcW w:w="1418" w:type="dxa"/>
            <w:vAlign w:val="center"/>
          </w:tcPr>
          <w:p w:rsidR="00DF4302" w:rsidRPr="000411FB" w:rsidRDefault="009F5B06" w:rsidP="00DF4302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  <w:r w:rsidR="00DF4302">
              <w:rPr>
                <w:sz w:val="20"/>
                <w:szCs w:val="20"/>
              </w:rPr>
              <w:t>3</w:t>
            </w:r>
          </w:p>
        </w:tc>
      </w:tr>
      <w:tr w:rsidR="00DF4302" w:rsidRPr="000F208D" w:rsidTr="00DF4302">
        <w:tc>
          <w:tcPr>
            <w:tcW w:w="3526" w:type="dxa"/>
          </w:tcPr>
          <w:p w:rsidR="00DF4302" w:rsidRPr="000E70EF" w:rsidRDefault="00DF4302" w:rsidP="00DF4302">
            <w:pPr>
              <w:pStyle w:val="ConsPlusNormal"/>
              <w:ind w:right="72" w:firstLine="0"/>
              <w:jc w:val="both"/>
              <w:rPr>
                <w:rFonts w:ascii="Times New Roman" w:hAnsi="Times New Roman" w:cs="Times New Roman"/>
              </w:rPr>
            </w:pPr>
            <w:r w:rsidRPr="000E70EF">
              <w:rPr>
                <w:rFonts w:ascii="Times New Roman" w:hAnsi="Times New Roman" w:cs="Times New Roman"/>
              </w:rPr>
              <w:t>1003 «Социальное обеспечение населения»</w:t>
            </w:r>
          </w:p>
        </w:tc>
        <w:tc>
          <w:tcPr>
            <w:tcW w:w="1079" w:type="dxa"/>
            <w:vAlign w:val="center"/>
          </w:tcPr>
          <w:p w:rsidR="00DF4302" w:rsidRPr="00275E0B" w:rsidRDefault="00611C97" w:rsidP="00DF4302">
            <w:pPr>
              <w:pStyle w:val="a6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657290,7</w:t>
            </w:r>
          </w:p>
        </w:tc>
        <w:tc>
          <w:tcPr>
            <w:tcW w:w="1080" w:type="dxa"/>
            <w:vAlign w:val="center"/>
          </w:tcPr>
          <w:p w:rsidR="00DF4302" w:rsidRPr="00275E0B" w:rsidRDefault="00611C97" w:rsidP="00DF4302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588677,1</w:t>
            </w:r>
          </w:p>
        </w:tc>
        <w:tc>
          <w:tcPr>
            <w:tcW w:w="1083" w:type="dxa"/>
            <w:vAlign w:val="center"/>
          </w:tcPr>
          <w:p w:rsidR="00DF4302" w:rsidRPr="00275E0B" w:rsidRDefault="00DF4302" w:rsidP="00611C97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1C97">
              <w:rPr>
                <w:sz w:val="20"/>
                <w:szCs w:val="20"/>
              </w:rPr>
              <w:t>68613,6</w:t>
            </w:r>
          </w:p>
        </w:tc>
        <w:tc>
          <w:tcPr>
            <w:tcW w:w="992" w:type="dxa"/>
            <w:vAlign w:val="center"/>
          </w:tcPr>
          <w:p w:rsidR="00DF4302" w:rsidRPr="000411FB" w:rsidRDefault="00611C97" w:rsidP="00DF4302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587900,4</w:t>
            </w:r>
          </w:p>
        </w:tc>
        <w:tc>
          <w:tcPr>
            <w:tcW w:w="995" w:type="dxa"/>
          </w:tcPr>
          <w:p w:rsidR="00DF4302" w:rsidRDefault="00DF4302" w:rsidP="00DF4302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DF4302" w:rsidRDefault="00DF4302" w:rsidP="00DF4302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418" w:type="dxa"/>
            <w:vAlign w:val="center"/>
          </w:tcPr>
          <w:p w:rsidR="00DF4302" w:rsidRPr="000411FB" w:rsidRDefault="00611C97" w:rsidP="00DF4302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776,7</w:t>
            </w:r>
          </w:p>
        </w:tc>
      </w:tr>
      <w:tr w:rsidR="00DF4302" w:rsidRPr="000F208D" w:rsidTr="00DF4302">
        <w:tc>
          <w:tcPr>
            <w:tcW w:w="3526" w:type="dxa"/>
          </w:tcPr>
          <w:p w:rsidR="00DF4302" w:rsidRPr="000E70EF" w:rsidRDefault="00DF4302" w:rsidP="00DF4302">
            <w:pPr>
              <w:pStyle w:val="ConsPlusNormal"/>
              <w:ind w:right="72" w:firstLine="0"/>
              <w:jc w:val="both"/>
              <w:rPr>
                <w:rFonts w:ascii="Times New Roman" w:hAnsi="Times New Roman" w:cs="Times New Roman"/>
              </w:rPr>
            </w:pPr>
            <w:r w:rsidRPr="000E70EF">
              <w:rPr>
                <w:rFonts w:ascii="Times New Roman" w:hAnsi="Times New Roman" w:cs="Times New Roman"/>
              </w:rPr>
              <w:t>1004 «Охрана семьи и детства»</w:t>
            </w:r>
          </w:p>
        </w:tc>
        <w:tc>
          <w:tcPr>
            <w:tcW w:w="1079" w:type="dxa"/>
            <w:vAlign w:val="center"/>
          </w:tcPr>
          <w:p w:rsidR="00DF4302" w:rsidRPr="00275E0B" w:rsidRDefault="000A5901" w:rsidP="00DF4302">
            <w:pPr>
              <w:pStyle w:val="a6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382148,9</w:t>
            </w:r>
          </w:p>
        </w:tc>
        <w:tc>
          <w:tcPr>
            <w:tcW w:w="1080" w:type="dxa"/>
            <w:vAlign w:val="center"/>
          </w:tcPr>
          <w:p w:rsidR="00DF4302" w:rsidRPr="00275E0B" w:rsidRDefault="000A5901" w:rsidP="00DF4302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345473,7</w:t>
            </w:r>
          </w:p>
        </w:tc>
        <w:tc>
          <w:tcPr>
            <w:tcW w:w="1083" w:type="dxa"/>
            <w:vAlign w:val="center"/>
          </w:tcPr>
          <w:p w:rsidR="00DF4302" w:rsidRPr="00275E0B" w:rsidRDefault="000A5901" w:rsidP="00DF4302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-36675,2</w:t>
            </w:r>
          </w:p>
        </w:tc>
        <w:tc>
          <w:tcPr>
            <w:tcW w:w="992" w:type="dxa"/>
            <w:vAlign w:val="center"/>
          </w:tcPr>
          <w:p w:rsidR="00DF4302" w:rsidRPr="000411FB" w:rsidRDefault="000A5901" w:rsidP="00DF4302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345359,8</w:t>
            </w:r>
          </w:p>
        </w:tc>
        <w:tc>
          <w:tcPr>
            <w:tcW w:w="995" w:type="dxa"/>
          </w:tcPr>
          <w:p w:rsidR="00DF4302" w:rsidRDefault="00DF4302" w:rsidP="000A5901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0A590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DF4302" w:rsidRPr="000411FB" w:rsidRDefault="000A5901" w:rsidP="00DF4302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</w:tr>
      <w:tr w:rsidR="00DF4302" w:rsidRPr="000F208D" w:rsidTr="00DF4302">
        <w:tc>
          <w:tcPr>
            <w:tcW w:w="3526" w:type="dxa"/>
          </w:tcPr>
          <w:p w:rsidR="00DF4302" w:rsidRPr="000E70EF" w:rsidRDefault="00DF4302" w:rsidP="00DF4302">
            <w:pPr>
              <w:pStyle w:val="ConsPlusNormal"/>
              <w:ind w:right="72" w:firstLine="0"/>
              <w:jc w:val="both"/>
              <w:rPr>
                <w:rFonts w:ascii="Times New Roman" w:hAnsi="Times New Roman" w:cs="Times New Roman"/>
              </w:rPr>
            </w:pPr>
            <w:r w:rsidRPr="000E70EF">
              <w:rPr>
                <w:rFonts w:ascii="Times New Roman" w:hAnsi="Times New Roman" w:cs="Times New Roman"/>
              </w:rPr>
              <w:t>1006 «Другие вопросы в области социальной политики»</w:t>
            </w:r>
          </w:p>
        </w:tc>
        <w:tc>
          <w:tcPr>
            <w:tcW w:w="1079" w:type="dxa"/>
            <w:vAlign w:val="center"/>
          </w:tcPr>
          <w:p w:rsidR="00DF4302" w:rsidRPr="0000401B" w:rsidRDefault="000A5901" w:rsidP="00DF4302">
            <w:pPr>
              <w:pStyle w:val="2"/>
              <w:spacing w:after="0" w:line="240" w:lineRule="auto"/>
              <w:ind w:left="-108" w:right="-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67344,0</w:t>
            </w:r>
          </w:p>
        </w:tc>
        <w:tc>
          <w:tcPr>
            <w:tcW w:w="1080" w:type="dxa"/>
            <w:vAlign w:val="center"/>
          </w:tcPr>
          <w:p w:rsidR="00DF4302" w:rsidRPr="00822AC5" w:rsidRDefault="000A5901" w:rsidP="00DF4302">
            <w:pPr>
              <w:pStyle w:val="2"/>
              <w:spacing w:after="0" w:line="240" w:lineRule="auto"/>
              <w:ind w:left="0" w:right="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67641,1</w:t>
            </w:r>
          </w:p>
        </w:tc>
        <w:tc>
          <w:tcPr>
            <w:tcW w:w="1083" w:type="dxa"/>
            <w:vAlign w:val="center"/>
          </w:tcPr>
          <w:p w:rsidR="00DF4302" w:rsidRPr="00822AC5" w:rsidRDefault="00DF4302" w:rsidP="000A5901">
            <w:pPr>
              <w:pStyle w:val="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5901">
              <w:rPr>
                <w:sz w:val="20"/>
                <w:szCs w:val="20"/>
              </w:rPr>
              <w:t>297,5</w:t>
            </w:r>
          </w:p>
        </w:tc>
        <w:tc>
          <w:tcPr>
            <w:tcW w:w="992" w:type="dxa"/>
            <w:vAlign w:val="center"/>
          </w:tcPr>
          <w:p w:rsidR="00DF4302" w:rsidRPr="000F208D" w:rsidRDefault="000A5901" w:rsidP="00DF4302">
            <w:pPr>
              <w:pStyle w:val="2"/>
              <w:spacing w:after="0" w:line="240" w:lineRule="auto"/>
              <w:ind w:left="-108"/>
              <w:jc w:val="right"/>
              <w:rPr>
                <w:sz w:val="20"/>
                <w:szCs w:val="20"/>
                <w:highlight w:val="yellow"/>
              </w:rPr>
            </w:pPr>
            <w:r w:rsidRPr="000A5901">
              <w:rPr>
                <w:sz w:val="20"/>
                <w:szCs w:val="20"/>
              </w:rPr>
              <w:t>67429,5</w:t>
            </w:r>
          </w:p>
        </w:tc>
        <w:tc>
          <w:tcPr>
            <w:tcW w:w="995" w:type="dxa"/>
            <w:vAlign w:val="center"/>
          </w:tcPr>
          <w:p w:rsidR="00DF4302" w:rsidRDefault="00DF4302" w:rsidP="000A5901">
            <w:pPr>
              <w:pStyle w:val="2"/>
              <w:spacing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0A590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F4302" w:rsidRPr="000411FB" w:rsidRDefault="000A5901" w:rsidP="00DF4302">
            <w:pPr>
              <w:pStyle w:val="2"/>
              <w:spacing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</w:t>
            </w:r>
          </w:p>
        </w:tc>
      </w:tr>
      <w:tr w:rsidR="00DF4302" w:rsidRPr="000F208D" w:rsidTr="00DF4302">
        <w:tc>
          <w:tcPr>
            <w:tcW w:w="3526" w:type="dxa"/>
          </w:tcPr>
          <w:p w:rsidR="00DF4302" w:rsidRPr="000E70EF" w:rsidRDefault="00DF4302" w:rsidP="00DF430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70E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9" w:type="dxa"/>
            <w:vAlign w:val="center"/>
          </w:tcPr>
          <w:p w:rsidR="00DF4302" w:rsidRPr="0000401B" w:rsidRDefault="000A5901" w:rsidP="00DF4302">
            <w:pPr>
              <w:pStyle w:val="2"/>
              <w:spacing w:after="0" w:line="240" w:lineRule="auto"/>
              <w:ind w:left="-108" w:right="-6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1269794,3</w:t>
            </w:r>
          </w:p>
        </w:tc>
        <w:tc>
          <w:tcPr>
            <w:tcW w:w="1080" w:type="dxa"/>
            <w:vAlign w:val="center"/>
          </w:tcPr>
          <w:p w:rsidR="00DF4302" w:rsidRPr="00822AC5" w:rsidRDefault="000A5901" w:rsidP="00DF4302">
            <w:pPr>
              <w:pStyle w:val="2"/>
              <w:spacing w:after="0" w:line="240" w:lineRule="auto"/>
              <w:ind w:left="0" w:right="-8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1155536,5</w:t>
            </w:r>
          </w:p>
        </w:tc>
        <w:tc>
          <w:tcPr>
            <w:tcW w:w="1083" w:type="dxa"/>
            <w:vAlign w:val="center"/>
          </w:tcPr>
          <w:p w:rsidR="00DF4302" w:rsidRPr="00B55448" w:rsidRDefault="00DF4302" w:rsidP="000A5901">
            <w:pPr>
              <w:pStyle w:val="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B55448">
              <w:rPr>
                <w:b/>
                <w:sz w:val="20"/>
                <w:szCs w:val="20"/>
              </w:rPr>
              <w:t>-</w:t>
            </w:r>
            <w:r w:rsidR="000A5901">
              <w:rPr>
                <w:b/>
                <w:sz w:val="20"/>
                <w:szCs w:val="20"/>
              </w:rPr>
              <w:t>114257,8</w:t>
            </w:r>
          </w:p>
        </w:tc>
        <w:tc>
          <w:tcPr>
            <w:tcW w:w="992" w:type="dxa"/>
            <w:vAlign w:val="center"/>
          </w:tcPr>
          <w:p w:rsidR="00DF4302" w:rsidRPr="00B55448" w:rsidRDefault="000A5901" w:rsidP="00DF4302">
            <w:pPr>
              <w:pStyle w:val="2"/>
              <w:spacing w:after="0" w:line="240" w:lineRule="auto"/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1154096,2</w:t>
            </w:r>
          </w:p>
        </w:tc>
        <w:tc>
          <w:tcPr>
            <w:tcW w:w="995" w:type="dxa"/>
          </w:tcPr>
          <w:p w:rsidR="00DF4302" w:rsidRPr="00B55448" w:rsidRDefault="00DF4302" w:rsidP="00DF4302">
            <w:pPr>
              <w:pStyle w:val="2"/>
              <w:spacing w:after="0" w:line="240" w:lineRule="auto"/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418" w:type="dxa"/>
            <w:vAlign w:val="center"/>
          </w:tcPr>
          <w:p w:rsidR="00DF4302" w:rsidRPr="000411FB" w:rsidRDefault="000A5901" w:rsidP="000A5901">
            <w:pPr>
              <w:pStyle w:val="2"/>
              <w:spacing w:after="0" w:line="240" w:lineRule="auto"/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1440,3</w:t>
            </w:r>
          </w:p>
        </w:tc>
      </w:tr>
    </w:tbl>
    <w:p w:rsidR="00BC62A2" w:rsidRPr="00BC62A2" w:rsidRDefault="00996FB2" w:rsidP="00996FB2">
      <w:pPr>
        <w:spacing w:line="360" w:lineRule="auto"/>
        <w:ind w:firstLine="709"/>
        <w:jc w:val="both"/>
      </w:pPr>
      <w:r w:rsidRPr="00BC62A2">
        <w:lastRenderedPageBreak/>
        <w:t>Как видно из таблицы, наибольшее изменение бюджетных ассигнований в течение года сложилось по подразделам 1003 «Социальное обеспечение населения», 070</w:t>
      </w:r>
      <w:r w:rsidR="00F876DE" w:rsidRPr="00BC62A2">
        <w:t>9</w:t>
      </w:r>
      <w:r w:rsidRPr="00BC62A2">
        <w:t xml:space="preserve"> «Молодёжная политика и оздоровление детей», 1004 «Охрана семьи и детства», 1001 «Пенсионное обеспечение», 1002 «Социальное обслуживание населения».  Увеличение </w:t>
      </w:r>
      <w:r w:rsidR="00BC62A2" w:rsidRPr="00BC62A2">
        <w:t>произошло в связи:</w:t>
      </w:r>
    </w:p>
    <w:p w:rsidR="00996FB2" w:rsidRPr="00BC62A2" w:rsidRDefault="00996FB2" w:rsidP="00996FB2">
      <w:pPr>
        <w:spacing w:line="360" w:lineRule="auto"/>
        <w:ind w:firstLine="709"/>
        <w:jc w:val="both"/>
      </w:pPr>
      <w:r w:rsidRPr="00BC62A2">
        <w:t>-</w:t>
      </w:r>
      <w:r w:rsidRPr="00BC62A2">
        <w:tab/>
        <w:t>по подразделу 1001 «Пенсионное обеспечение» - увеличением числа граждан, обратившихся за получением доплат к пенсиям;</w:t>
      </w:r>
    </w:p>
    <w:p w:rsidR="00996FB2" w:rsidRPr="00BC62A2" w:rsidRDefault="00996FB2" w:rsidP="00996FB2">
      <w:pPr>
        <w:spacing w:line="360" w:lineRule="auto"/>
        <w:ind w:firstLine="709"/>
        <w:jc w:val="both"/>
      </w:pPr>
      <w:r w:rsidRPr="00BC62A2">
        <w:t>-</w:t>
      </w:r>
      <w:r w:rsidRPr="00BC62A2">
        <w:tab/>
        <w:t>по подразделу 1002 «Социальное обслуживание населения» - увеличением минимального размера оплаты труда  и средней заработной платы отдельных категорий граждан Ростовской области.</w:t>
      </w:r>
    </w:p>
    <w:p w:rsidR="00996FB2" w:rsidRPr="00BC62A2" w:rsidRDefault="00996FB2" w:rsidP="00996FB2">
      <w:pPr>
        <w:spacing w:line="360" w:lineRule="auto"/>
        <w:ind w:firstLine="708"/>
        <w:jc w:val="both"/>
      </w:pPr>
      <w:r w:rsidRPr="00BC62A2">
        <w:t>Уменьшение бюджетных ассигнований обусловлено следующим:</w:t>
      </w:r>
    </w:p>
    <w:p w:rsidR="00996FB2" w:rsidRPr="00BC62A2" w:rsidRDefault="00996FB2" w:rsidP="00996FB2">
      <w:pPr>
        <w:spacing w:line="360" w:lineRule="auto"/>
        <w:ind w:firstLine="709"/>
        <w:jc w:val="both"/>
      </w:pPr>
      <w:r w:rsidRPr="00BC62A2">
        <w:t xml:space="preserve">- по подразделу 1003 «Социальное обеспечение населения» </w:t>
      </w:r>
      <w:r w:rsidR="00BC62A2" w:rsidRPr="00BC62A2">
        <w:t xml:space="preserve">и 1004 « Охрана семьи и детства» </w:t>
      </w:r>
      <w:r w:rsidRPr="00BC62A2">
        <w:t>- уменьшением числа граждан, обратившихся за получением мер социальной поддержки;</w:t>
      </w:r>
    </w:p>
    <w:p w:rsidR="00996FB2" w:rsidRPr="00BC62A2" w:rsidRDefault="00996FB2" w:rsidP="00996FB2">
      <w:pPr>
        <w:spacing w:line="360" w:lineRule="auto"/>
        <w:ind w:firstLine="709"/>
        <w:jc w:val="both"/>
      </w:pPr>
      <w:r w:rsidRPr="00BC62A2">
        <w:t>- по подразделу 070</w:t>
      </w:r>
      <w:r w:rsidR="00BC62A2" w:rsidRPr="00BC62A2">
        <w:t>9</w:t>
      </w:r>
      <w:r w:rsidRPr="00BC62A2">
        <w:t xml:space="preserve"> «Молодежная политика и оздоровление детей» - уменьшением числа граждан, обратившихся за получением компенсации за самостоятельно приобретенную путевку;</w:t>
      </w:r>
    </w:p>
    <w:p w:rsidR="00996FB2" w:rsidRPr="00BC62A2" w:rsidRDefault="00996FB2" w:rsidP="00996FB2">
      <w:pPr>
        <w:spacing w:line="360" w:lineRule="auto"/>
        <w:ind w:firstLine="709"/>
        <w:jc w:val="both"/>
      </w:pPr>
      <w:r w:rsidRPr="00BC62A2">
        <w:t xml:space="preserve">Неисполнение назначений по расходам составило </w:t>
      </w:r>
      <w:r w:rsidR="00BC62A2" w:rsidRPr="00BC62A2">
        <w:t>1440,3</w:t>
      </w:r>
      <w:r w:rsidRPr="00BC62A2">
        <w:t xml:space="preserve"> тыс.руб. или 0,1% от утвержденных бюджетных ассигнований. Наибольшее неисполнение сложилось по подразделам:</w:t>
      </w:r>
    </w:p>
    <w:p w:rsidR="00996FB2" w:rsidRPr="00BC62A2" w:rsidRDefault="00996FB2" w:rsidP="00996FB2">
      <w:pPr>
        <w:spacing w:line="360" w:lineRule="auto"/>
        <w:ind w:firstLine="709"/>
        <w:jc w:val="both"/>
      </w:pPr>
      <w:r w:rsidRPr="00BC62A2">
        <w:t>-</w:t>
      </w:r>
      <w:r w:rsidRPr="00BC62A2">
        <w:tab/>
        <w:t>100</w:t>
      </w:r>
      <w:r w:rsidR="00BC62A2" w:rsidRPr="00BC62A2">
        <w:t>2</w:t>
      </w:r>
      <w:r w:rsidRPr="00BC62A2">
        <w:t xml:space="preserve"> </w:t>
      </w:r>
      <w:r w:rsidR="00BC62A2" w:rsidRPr="00BC62A2">
        <w:t xml:space="preserve">«Социальное обслуживание населения» </w:t>
      </w:r>
      <w:r w:rsidRPr="00BC62A2">
        <w:t xml:space="preserve">в связи с </w:t>
      </w:r>
      <w:r w:rsidR="00BC62A2" w:rsidRPr="00BC62A2">
        <w:t>поломкой социального автобуса;</w:t>
      </w:r>
    </w:p>
    <w:p w:rsidR="00996FB2" w:rsidRPr="00BC62A2" w:rsidRDefault="00996FB2" w:rsidP="00996FB2">
      <w:pPr>
        <w:spacing w:line="360" w:lineRule="auto"/>
        <w:ind w:firstLine="709"/>
        <w:jc w:val="both"/>
      </w:pPr>
      <w:r w:rsidRPr="00BC62A2">
        <w:t>-</w:t>
      </w:r>
      <w:r w:rsidRPr="00BC62A2">
        <w:tab/>
        <w:t>1003 «Социальное обеспечение населения» - в результате перечисления межбюджетных трансфертов в пределах сумм, необходимых для оплаты денежных обязательств по расходам на компенсацию оплаты жилищно-коммунальных услуг.</w:t>
      </w:r>
    </w:p>
    <w:p w:rsidR="00A4376A" w:rsidRPr="00BC62A2" w:rsidRDefault="009D3F27" w:rsidP="00A4376A">
      <w:pPr>
        <w:spacing w:line="360" w:lineRule="auto"/>
        <w:ind w:firstLine="709"/>
        <w:jc w:val="both"/>
      </w:pPr>
      <w:r w:rsidRPr="00BC62A2">
        <w:t>Наибольшее у</w:t>
      </w:r>
      <w:r w:rsidR="00B25681" w:rsidRPr="00BC62A2">
        <w:t xml:space="preserve">меньшение плановых назначений </w:t>
      </w:r>
      <w:r w:rsidR="00A4376A" w:rsidRPr="00BC62A2">
        <w:t>связанно по подразделам:</w:t>
      </w:r>
    </w:p>
    <w:p w:rsidR="00A4376A" w:rsidRPr="00BC62A2" w:rsidRDefault="00A4376A" w:rsidP="00A4376A">
      <w:pPr>
        <w:spacing w:line="360" w:lineRule="auto"/>
        <w:ind w:firstLine="709"/>
        <w:jc w:val="both"/>
      </w:pPr>
      <w:r w:rsidRPr="00BC62A2">
        <w:t>070</w:t>
      </w:r>
      <w:r w:rsidR="00BC62A2" w:rsidRPr="00BC62A2">
        <w:t>9</w:t>
      </w:r>
      <w:r w:rsidRPr="00BC62A2">
        <w:t xml:space="preserve"> «Молодёжная политика и оздоровление детей» - по приобретению путевок для оздоровления детей, </w:t>
      </w:r>
    </w:p>
    <w:p w:rsidR="00A4376A" w:rsidRPr="00BC62A2" w:rsidRDefault="00A4376A" w:rsidP="00A4376A">
      <w:pPr>
        <w:spacing w:line="360" w:lineRule="auto"/>
        <w:ind w:firstLine="709"/>
        <w:jc w:val="both"/>
      </w:pPr>
      <w:r w:rsidRPr="00BC62A2">
        <w:t xml:space="preserve"> 1003 «Социальное обеспечение населения» </w:t>
      </w:r>
      <w:r w:rsidR="00BC62A2" w:rsidRPr="00BC62A2">
        <w:t xml:space="preserve">и 1004 « Охрана семьи и детства» </w:t>
      </w:r>
      <w:r w:rsidRPr="00BC62A2">
        <w:t>в связи с</w:t>
      </w:r>
      <w:r w:rsidR="009D3F27" w:rsidRPr="00BC62A2">
        <w:t xml:space="preserve"> уменьшением количества получателей. </w:t>
      </w:r>
    </w:p>
    <w:p w:rsidR="00BC62A2" w:rsidRDefault="00BC62A2" w:rsidP="00BC62A2">
      <w:pPr>
        <w:spacing w:line="360" w:lineRule="auto"/>
        <w:ind w:firstLine="539"/>
        <w:jc w:val="both"/>
      </w:pPr>
      <w:r w:rsidRPr="00103E14">
        <w:t xml:space="preserve">  </w:t>
      </w:r>
      <w:r w:rsidRPr="00F96381">
        <w:t>В рамках реализации муниципальной программы «Социальная поддержка граждан Волгодонска» за счет средств федерального бюджета произведены</w:t>
      </w:r>
      <w:r>
        <w:t xml:space="preserve"> :</w:t>
      </w:r>
    </w:p>
    <w:p w:rsidR="00BC62A2" w:rsidRDefault="00BC62A2" w:rsidP="00BC62A2">
      <w:pPr>
        <w:spacing w:line="360" w:lineRule="auto"/>
        <w:ind w:firstLine="539"/>
        <w:jc w:val="both"/>
      </w:pPr>
      <w:r>
        <w:t xml:space="preserve">- </w:t>
      </w:r>
      <w:r w:rsidRPr="00F96381">
        <w:t xml:space="preserve">выплаты по оплате жилищно-коммунальных услуг отдельным категориям граждан  –  </w:t>
      </w:r>
      <w:r>
        <w:t>110 492 938,21</w:t>
      </w:r>
      <w:r w:rsidRPr="00F96381">
        <w:t xml:space="preserve"> рубл</w:t>
      </w:r>
      <w:r>
        <w:t>ей</w:t>
      </w:r>
      <w:r w:rsidRPr="00F96381">
        <w:t xml:space="preserve">, </w:t>
      </w:r>
    </w:p>
    <w:p w:rsidR="00BC62A2" w:rsidRDefault="00BC62A2" w:rsidP="00BC62A2">
      <w:pPr>
        <w:spacing w:line="360" w:lineRule="auto"/>
        <w:ind w:firstLine="539"/>
        <w:jc w:val="both"/>
      </w:pPr>
      <w:r>
        <w:t xml:space="preserve">-     выплаты </w:t>
      </w:r>
      <w:r w:rsidRPr="00F96381">
        <w:t>семьям, имеющим детей и проживающим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-</w:t>
      </w:r>
      <w:r>
        <w:t xml:space="preserve">41 509 962,92 </w:t>
      </w:r>
      <w:r w:rsidRPr="00F96381">
        <w:t xml:space="preserve">рублей, </w:t>
      </w:r>
    </w:p>
    <w:p w:rsidR="00BC62A2" w:rsidRDefault="00BC62A2" w:rsidP="00BC62A2">
      <w:pPr>
        <w:spacing w:line="360" w:lineRule="auto"/>
        <w:ind w:firstLine="539"/>
        <w:jc w:val="both"/>
      </w:pPr>
      <w:r>
        <w:lastRenderedPageBreak/>
        <w:t xml:space="preserve">- выплаты </w:t>
      </w:r>
      <w:r w:rsidRPr="00F96381">
        <w:t xml:space="preserve">мер социальной поддержки для лиц, награжденных знаком «Почетный донор России», «Почетный донор СССР», - </w:t>
      </w:r>
      <w:r>
        <w:t>13 302 167,75</w:t>
      </w:r>
      <w:r w:rsidRPr="00F96381">
        <w:t>рубл</w:t>
      </w:r>
      <w:r>
        <w:t>ей,</w:t>
      </w:r>
    </w:p>
    <w:p w:rsidR="00BC62A2" w:rsidRDefault="00BC62A2" w:rsidP="00BC62A2">
      <w:pPr>
        <w:spacing w:line="360" w:lineRule="auto"/>
        <w:ind w:firstLine="539"/>
        <w:jc w:val="both"/>
      </w:pPr>
      <w:r>
        <w:t>- ежемесячной выплаты на детей в возрасте от трех до семи лет включительно – 153 569 990,33 рублей.</w:t>
      </w:r>
    </w:p>
    <w:p w:rsidR="00D71E72" w:rsidRPr="00862876" w:rsidRDefault="00873F96" w:rsidP="00D71E72">
      <w:pPr>
        <w:spacing w:line="360" w:lineRule="auto"/>
        <w:ind w:firstLine="539"/>
        <w:jc w:val="both"/>
        <w:rPr>
          <w:b/>
        </w:rPr>
      </w:pPr>
      <w:r w:rsidRPr="00862876">
        <w:rPr>
          <w:b/>
        </w:rPr>
        <w:t>Раздел 4. Анализ показателей финансовой отчетности субъекта бюджетной отчетности.</w:t>
      </w:r>
    </w:p>
    <w:p w:rsidR="00CD4C25" w:rsidRPr="00862876" w:rsidRDefault="00CD4C25" w:rsidP="004E7D80">
      <w:pPr>
        <w:pStyle w:val="a4"/>
        <w:widowControl w:val="0"/>
        <w:spacing w:line="360" w:lineRule="auto"/>
        <w:ind w:firstLine="709"/>
      </w:pPr>
      <w:r w:rsidRPr="00862876">
        <w:t>Валюта Баланса ф. 0503130 Департамента на 01.01.20</w:t>
      </w:r>
      <w:r w:rsidR="00067567" w:rsidRPr="00862876">
        <w:t>2</w:t>
      </w:r>
      <w:r w:rsidR="00BC62A2" w:rsidRPr="00862876">
        <w:t>4</w:t>
      </w:r>
      <w:r w:rsidR="00067567" w:rsidRPr="00862876">
        <w:t xml:space="preserve"> </w:t>
      </w:r>
      <w:r w:rsidRPr="00862876">
        <w:t xml:space="preserve">г. составила </w:t>
      </w:r>
      <w:r w:rsidR="00862876" w:rsidRPr="00862876">
        <w:t>3 390 045,8</w:t>
      </w:r>
      <w:r w:rsidRPr="00862876">
        <w:t xml:space="preserve">тыс.руб. (по бюджетной деятельности – </w:t>
      </w:r>
      <w:r w:rsidR="00862876" w:rsidRPr="00862876">
        <w:t xml:space="preserve">3 389 929, </w:t>
      </w:r>
      <w:r w:rsidR="00FE13EC" w:rsidRPr="00862876">
        <w:t xml:space="preserve">1 </w:t>
      </w:r>
      <w:r w:rsidRPr="00862876">
        <w:t xml:space="preserve">тыс.руб.,  по средствам во временном распоряжении – </w:t>
      </w:r>
      <w:r w:rsidR="00862876" w:rsidRPr="00862876">
        <w:t>116,7</w:t>
      </w:r>
      <w:r w:rsidRPr="00862876">
        <w:t xml:space="preserve"> тыс.руб.). Итоги актива и пассива баланса равны.</w:t>
      </w:r>
    </w:p>
    <w:p w:rsidR="00CD4C25" w:rsidRPr="00862876" w:rsidRDefault="00CD4C25" w:rsidP="004E7D80">
      <w:pPr>
        <w:pStyle w:val="a4"/>
        <w:widowControl w:val="0"/>
        <w:spacing w:line="360" w:lineRule="auto"/>
        <w:ind w:firstLine="709"/>
      </w:pPr>
      <w:r w:rsidRPr="00862876">
        <w:t>Общая стоимость нефинансовых активов по состоянию на 01.01.20</w:t>
      </w:r>
      <w:r w:rsidR="00590C99" w:rsidRPr="00862876">
        <w:t>2</w:t>
      </w:r>
      <w:r w:rsidR="00862876" w:rsidRPr="00862876">
        <w:t>4</w:t>
      </w:r>
      <w:r w:rsidRPr="00862876">
        <w:t xml:space="preserve">г. составила </w:t>
      </w:r>
      <w:r w:rsidR="00862876" w:rsidRPr="00862876">
        <w:t>9320,5</w:t>
      </w:r>
      <w:r w:rsidRPr="00862876">
        <w:t xml:space="preserve"> тыс.руб., из них основные средства – </w:t>
      </w:r>
      <w:r w:rsidR="00862876" w:rsidRPr="00862876">
        <w:t>66,7</w:t>
      </w:r>
      <w:r w:rsidRPr="00862876">
        <w:t xml:space="preserve"> тыс.руб., непроизведенные активы – </w:t>
      </w:r>
      <w:r w:rsidR="00862876" w:rsidRPr="00862876">
        <w:t>7217,9</w:t>
      </w:r>
      <w:r w:rsidRPr="00862876">
        <w:t xml:space="preserve"> тыс.руб., материальные запасы – </w:t>
      </w:r>
      <w:r w:rsidR="00862876" w:rsidRPr="00862876">
        <w:t>1143,8</w:t>
      </w:r>
      <w:r w:rsidRPr="00862876">
        <w:t xml:space="preserve"> тыс.руб, </w:t>
      </w:r>
      <w:r w:rsidR="00123ABB" w:rsidRPr="00862876">
        <w:t xml:space="preserve">права пользования активами -860,8 тыс.руб., </w:t>
      </w:r>
      <w:r w:rsidRPr="00862876">
        <w:t xml:space="preserve">расходы будущих периодов – </w:t>
      </w:r>
      <w:r w:rsidR="00862876" w:rsidRPr="00862876">
        <w:t>31,3</w:t>
      </w:r>
      <w:r w:rsidRPr="00862876">
        <w:t xml:space="preserve"> тыс.руб. </w:t>
      </w:r>
    </w:p>
    <w:p w:rsidR="00123ABB" w:rsidRPr="00862876" w:rsidRDefault="00123ABB" w:rsidP="00123ABB">
      <w:pPr>
        <w:pStyle w:val="a4"/>
        <w:widowControl w:val="0"/>
        <w:spacing w:line="360" w:lineRule="auto"/>
        <w:ind w:firstLine="709"/>
      </w:pPr>
      <w:r w:rsidRPr="00862876">
        <w:t>Общая стоимость финансовых активов по состоянию на 01.01.202</w:t>
      </w:r>
      <w:r w:rsidR="00862876" w:rsidRPr="00862876">
        <w:t>4</w:t>
      </w:r>
      <w:r w:rsidRPr="00862876">
        <w:t xml:space="preserve">г. составила </w:t>
      </w:r>
      <w:r w:rsidR="00862876" w:rsidRPr="00862876">
        <w:t>3380725,3</w:t>
      </w:r>
      <w:r w:rsidRPr="00862876">
        <w:t xml:space="preserve"> тыс.руб., в том числе денежные средства – </w:t>
      </w:r>
      <w:r w:rsidR="00862876" w:rsidRPr="00862876">
        <w:t>186,9</w:t>
      </w:r>
      <w:r w:rsidRPr="00862876">
        <w:t xml:space="preserve"> тыс.руб., финансовые вложения – </w:t>
      </w:r>
      <w:r w:rsidR="00862876" w:rsidRPr="00862876">
        <w:t>19495,9</w:t>
      </w:r>
      <w:r w:rsidRPr="00862876">
        <w:t xml:space="preserve"> тыс.руб., дебиторская задолженность по доходам – </w:t>
      </w:r>
      <w:r w:rsidR="00862876" w:rsidRPr="00862876">
        <w:t>3359550,9</w:t>
      </w:r>
      <w:r w:rsidRPr="00862876">
        <w:t xml:space="preserve"> тыс.руб., по выплатам – </w:t>
      </w:r>
      <w:r w:rsidR="00862876" w:rsidRPr="00862876">
        <w:t>1491,7</w:t>
      </w:r>
      <w:r w:rsidRPr="00862876">
        <w:t xml:space="preserve"> тыс.руб.</w:t>
      </w:r>
    </w:p>
    <w:p w:rsidR="00123ABB" w:rsidRPr="00862876" w:rsidRDefault="00123ABB" w:rsidP="00123ABB">
      <w:pPr>
        <w:pStyle w:val="a4"/>
        <w:widowControl w:val="0"/>
        <w:spacing w:line="360" w:lineRule="auto"/>
        <w:ind w:firstLine="709"/>
      </w:pPr>
      <w:r w:rsidRPr="00862876">
        <w:t>Общая стоимость обязательств по состоянию на 01.01.202</w:t>
      </w:r>
      <w:r w:rsidR="00862876" w:rsidRPr="00862876">
        <w:t>4</w:t>
      </w:r>
      <w:r w:rsidRPr="00862876">
        <w:t xml:space="preserve">г. составляет </w:t>
      </w:r>
      <w:r w:rsidR="00862876" w:rsidRPr="00862876">
        <w:t>3364720,3</w:t>
      </w:r>
      <w:r w:rsidRPr="00862876">
        <w:t xml:space="preserve"> тыс.руб. (расчеты по платежам в бюджеты – </w:t>
      </w:r>
      <w:r w:rsidR="00862876" w:rsidRPr="00862876">
        <w:t>2475,5</w:t>
      </w:r>
      <w:r w:rsidRPr="00862876">
        <w:t xml:space="preserve"> тыс.руб., иные расчеты по средствам, полученным во временное распоряжение, – </w:t>
      </w:r>
      <w:r w:rsidR="00862876" w:rsidRPr="00862876">
        <w:t>116,8</w:t>
      </w:r>
      <w:r w:rsidRPr="00862876">
        <w:t xml:space="preserve"> тыс.руб., доходы будущих периодов – </w:t>
      </w:r>
      <w:r w:rsidR="00862876" w:rsidRPr="00862876">
        <w:t xml:space="preserve">3359550,9 </w:t>
      </w:r>
      <w:r w:rsidRPr="00862876">
        <w:t xml:space="preserve">тыс.руб., резервы предстоящих расходов – </w:t>
      </w:r>
      <w:r w:rsidR="00862876" w:rsidRPr="00862876">
        <w:t>2577,3</w:t>
      </w:r>
      <w:r w:rsidRPr="00862876">
        <w:t xml:space="preserve"> тыс.руб.). Финансовый результат деятельности сложился в сумме </w:t>
      </w:r>
      <w:r w:rsidR="00862876" w:rsidRPr="00862876">
        <w:t>25325,4</w:t>
      </w:r>
      <w:r w:rsidRPr="00862876">
        <w:t xml:space="preserve"> тыс.руб.</w:t>
      </w:r>
    </w:p>
    <w:p w:rsidR="0004409B" w:rsidRPr="000769E8" w:rsidRDefault="0004409B" w:rsidP="00123ABB">
      <w:pPr>
        <w:pStyle w:val="a4"/>
        <w:widowControl w:val="0"/>
        <w:spacing w:line="360" w:lineRule="auto"/>
        <w:ind w:firstLine="709"/>
      </w:pPr>
      <w:r w:rsidRPr="000769E8">
        <w:t>Согласно приложению к пояснительной записке «Сведения по дебиторской и кредиторской задолженности» (ф.0503169) по состоянию на 01.01.20</w:t>
      </w:r>
      <w:r w:rsidR="00B11C6A" w:rsidRPr="000769E8">
        <w:t>2</w:t>
      </w:r>
      <w:r w:rsidR="00862876" w:rsidRPr="000769E8">
        <w:t>4</w:t>
      </w:r>
      <w:r w:rsidRPr="000769E8">
        <w:t>г.:</w:t>
      </w:r>
    </w:p>
    <w:p w:rsidR="0004409B" w:rsidRPr="000769E8" w:rsidRDefault="0004409B" w:rsidP="004E7D80">
      <w:pPr>
        <w:pStyle w:val="a4"/>
        <w:widowControl w:val="0"/>
        <w:numPr>
          <w:ilvl w:val="0"/>
          <w:numId w:val="2"/>
        </w:numPr>
        <w:tabs>
          <w:tab w:val="left" w:pos="1080"/>
        </w:tabs>
        <w:spacing w:line="360" w:lineRule="auto"/>
      </w:pPr>
      <w:r w:rsidRPr="000769E8">
        <w:t>в составе дебиторской задолженности числится задолженность:</w:t>
      </w:r>
    </w:p>
    <w:p w:rsidR="00123ABB" w:rsidRPr="000769E8" w:rsidRDefault="0004409B" w:rsidP="00123ABB">
      <w:pPr>
        <w:pStyle w:val="a4"/>
        <w:widowControl w:val="0"/>
        <w:spacing w:line="360" w:lineRule="auto"/>
        <w:ind w:firstLine="709"/>
      </w:pPr>
      <w:r w:rsidRPr="000769E8">
        <w:t>-</w:t>
      </w:r>
      <w:r w:rsidRPr="000769E8">
        <w:tab/>
      </w:r>
      <w:r w:rsidR="00123ABB" w:rsidRPr="000769E8">
        <w:t xml:space="preserve">по доходам в сумме </w:t>
      </w:r>
      <w:r w:rsidR="0052010A" w:rsidRPr="000769E8">
        <w:t>3359500,9</w:t>
      </w:r>
      <w:r w:rsidR="00123ABB" w:rsidRPr="000769E8">
        <w:t xml:space="preserve"> тыс.руб. (доходы будущих периодов от предоставления межбюджетных трансфертов в 202</w:t>
      </w:r>
      <w:r w:rsidR="0052010A" w:rsidRPr="000769E8">
        <w:t>4</w:t>
      </w:r>
      <w:r w:rsidR="00123ABB" w:rsidRPr="000769E8">
        <w:t>-202</w:t>
      </w:r>
      <w:r w:rsidR="0052010A" w:rsidRPr="000769E8">
        <w:t>6</w:t>
      </w:r>
      <w:r w:rsidR="00123ABB" w:rsidRPr="000769E8">
        <w:t>гг.);</w:t>
      </w:r>
    </w:p>
    <w:p w:rsidR="00123ABB" w:rsidRPr="000769E8" w:rsidRDefault="00123ABB" w:rsidP="00123ABB">
      <w:pPr>
        <w:pStyle w:val="a4"/>
        <w:widowControl w:val="0"/>
        <w:spacing w:line="360" w:lineRule="auto"/>
        <w:ind w:firstLine="709"/>
      </w:pPr>
      <w:r w:rsidRPr="000769E8">
        <w:t>-</w:t>
      </w:r>
      <w:r w:rsidRPr="000769E8">
        <w:tab/>
        <w:t xml:space="preserve">по выплатам – </w:t>
      </w:r>
      <w:r w:rsidR="0052010A" w:rsidRPr="000769E8">
        <w:t xml:space="preserve">1491,7 </w:t>
      </w:r>
      <w:r w:rsidRPr="000769E8">
        <w:t>тыс.руб. (в результате перечисления авансов согласно условиям муниципальных контрактов за услуги связи, услуги по подписке и доставке периодических изданий в 202</w:t>
      </w:r>
      <w:r w:rsidR="0052010A" w:rsidRPr="000769E8">
        <w:t>4</w:t>
      </w:r>
      <w:r w:rsidRPr="000769E8">
        <w:t>г.</w:t>
      </w:r>
      <w:r w:rsidR="0052010A" w:rsidRPr="000769E8">
        <w:t>, а также по уплате налогов</w:t>
      </w:r>
      <w:r w:rsidRPr="000769E8">
        <w:t>);</w:t>
      </w:r>
    </w:p>
    <w:p w:rsidR="000769E8" w:rsidRPr="000769E8" w:rsidRDefault="0004409B" w:rsidP="005A3FCC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ind w:left="0" w:firstLine="709"/>
        <w:jc w:val="both"/>
      </w:pPr>
      <w:r w:rsidRPr="000769E8">
        <w:t xml:space="preserve">в составе кредиторской задолженности отражена задолженность по расчетам по </w:t>
      </w:r>
      <w:r w:rsidR="00A97B8F" w:rsidRPr="000769E8">
        <w:t xml:space="preserve">платежам в бюджет </w:t>
      </w:r>
      <w:r w:rsidRPr="000769E8">
        <w:t xml:space="preserve"> в сумме </w:t>
      </w:r>
      <w:r w:rsidR="0052010A" w:rsidRPr="000769E8">
        <w:t>2475,4</w:t>
      </w:r>
      <w:r w:rsidRPr="000769E8">
        <w:t xml:space="preserve"> тыс.руб. (средс</w:t>
      </w:r>
      <w:r w:rsidR="003E394E" w:rsidRPr="000769E8">
        <w:t>тва неиспользованных субвенций</w:t>
      </w:r>
      <w:r w:rsidR="0052010A" w:rsidRPr="000769E8">
        <w:t xml:space="preserve">, </w:t>
      </w:r>
      <w:r w:rsidR="000769E8" w:rsidRPr="000769E8">
        <w:t xml:space="preserve">незачтенные </w:t>
      </w:r>
      <w:r w:rsidR="0052010A" w:rsidRPr="000769E8">
        <w:t>налоги</w:t>
      </w:r>
      <w:r w:rsidR="003E394E" w:rsidRPr="000769E8">
        <w:t>)</w:t>
      </w:r>
      <w:r w:rsidR="00123ABB" w:rsidRPr="000769E8">
        <w:t>.</w:t>
      </w:r>
    </w:p>
    <w:p w:rsidR="000769E8" w:rsidRDefault="005A3FCC" w:rsidP="000769E8">
      <w:pPr>
        <w:spacing w:line="360" w:lineRule="auto"/>
        <w:ind w:firstLine="539"/>
        <w:jc w:val="both"/>
      </w:pPr>
      <w:r w:rsidRPr="000769E8">
        <w:tab/>
      </w:r>
      <w:r w:rsidR="000769E8" w:rsidRPr="000769E8">
        <w:rPr>
          <w:b/>
        </w:rPr>
        <w:t xml:space="preserve">       </w:t>
      </w:r>
      <w:r w:rsidR="000769E8" w:rsidRPr="000769E8">
        <w:t>Основными факторами, повлиявшими на увеличение нефинансовых активов в 2023 году,  является приобретение затвора на теплосчетчик, мебели</w:t>
      </w:r>
      <w:r w:rsidR="000769E8">
        <w:t xml:space="preserve"> офисной, оборудования для </w:t>
      </w:r>
      <w:r w:rsidR="000769E8">
        <w:lastRenderedPageBreak/>
        <w:t>видеонаблюдения, кресел офисных, калькуляторов, дрели , цепной пилы, стремянки, телефонных аппаратов, коммутаторов.</w:t>
      </w:r>
    </w:p>
    <w:p w:rsidR="005A3FCC" w:rsidRPr="00E80E47" w:rsidRDefault="005A3FCC" w:rsidP="000769E8">
      <w:pPr>
        <w:pStyle w:val="a6"/>
        <w:tabs>
          <w:tab w:val="left" w:pos="900"/>
          <w:tab w:val="left" w:pos="1080"/>
        </w:tabs>
        <w:spacing w:after="0" w:line="360" w:lineRule="auto"/>
        <w:ind w:left="709"/>
        <w:jc w:val="both"/>
        <w:rPr>
          <w:highlight w:val="yellow"/>
        </w:rPr>
      </w:pPr>
    </w:p>
    <w:p w:rsidR="00A12413" w:rsidRPr="000769E8" w:rsidRDefault="009A4A65" w:rsidP="00123ABB">
      <w:pPr>
        <w:spacing w:line="360" w:lineRule="auto"/>
        <w:ind w:firstLine="539"/>
        <w:jc w:val="both"/>
        <w:rPr>
          <w:b/>
        </w:rPr>
      </w:pPr>
      <w:r w:rsidRPr="000769E8">
        <w:rPr>
          <w:b/>
        </w:rPr>
        <w:t>Раздел 5. Прочие вопросы деятельности субъекта бюджетной отчетности.</w:t>
      </w:r>
    </w:p>
    <w:p w:rsidR="00C72AA4" w:rsidRPr="000769E8" w:rsidRDefault="00C72AA4" w:rsidP="00C72AA4">
      <w:pPr>
        <w:autoSpaceDE w:val="0"/>
        <w:autoSpaceDN w:val="0"/>
        <w:adjustRightInd w:val="0"/>
        <w:spacing w:line="360" w:lineRule="auto"/>
        <w:jc w:val="both"/>
      </w:pPr>
      <w:r w:rsidRPr="000769E8">
        <w:t xml:space="preserve">            Учетная политика формируется исходя из особенностей структур Департамента, отраслевых и иных особенностей деятельности, выполняемых им в соответствии с законодательством Российской Федерации полномочий и (или) функций, руководствуясь законодательством Российской Федерации, а  также федеральным стандартом бухгалтерского учета для организаций государственного сектора "Учетная политика, оценочные значения и ошибки", иными нормативными правовыми актами, регулирующими ведение бухгалтерского учета и составление бухгалтерской (бюджетной) отчетности.</w:t>
      </w:r>
    </w:p>
    <w:p w:rsidR="00C72AA4" w:rsidRPr="000769E8" w:rsidRDefault="00C72AA4" w:rsidP="00C72AA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769E8">
        <w:t xml:space="preserve">  Учетная политика формируется главным бухгалтером Департамента и  утверждается директором Департамента.</w:t>
      </w:r>
    </w:p>
    <w:p w:rsidR="00C72AA4" w:rsidRPr="000769E8" w:rsidRDefault="00C72AA4" w:rsidP="00C72AA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769E8">
        <w:t xml:space="preserve"> В учетной политике утверждаются:</w:t>
      </w:r>
    </w:p>
    <w:p w:rsidR="00C72AA4" w:rsidRPr="000769E8" w:rsidRDefault="00C72AA4" w:rsidP="00C72AA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769E8">
        <w:t>а)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учета, и (или) раскрытия информации о них в бухгалтерской (финансовой) отчетности в соответствии с нормативными правовыми актами, регулирующими ведение бухгалтерского учета и составление бухгалтерской (бюджетной) отчетности;</w:t>
      </w:r>
    </w:p>
    <w:p w:rsidR="00A97B8F" w:rsidRPr="000769E8" w:rsidRDefault="00C72AA4" w:rsidP="00A97B8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769E8">
        <w:t>б) рабочий план счетов бухгалтерского учета;</w:t>
      </w:r>
    </w:p>
    <w:p w:rsidR="00A97B8F" w:rsidRPr="000769E8" w:rsidRDefault="00C72AA4" w:rsidP="00A97B8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769E8">
        <w:t>в) порядок проведения инвентаризации активов, имущества, учитываемого на забалансовых счетах, обязательств, иных объектов бухгалтерского учета;</w:t>
      </w:r>
    </w:p>
    <w:p w:rsidR="00A97B8F" w:rsidRPr="000769E8" w:rsidRDefault="00C72AA4" w:rsidP="00A97B8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769E8">
        <w:t xml:space="preserve">г) формы первичных (сводных) учетных документов, регистров бухгалтерского учета, иных документов бухгалтерского учета, применяемых для оформления фактов хозяйственной жизни, ведения бухгалтерского учета, по которым законодательством Российской Федерации не предусмотрены обязательные для </w:t>
      </w:r>
      <w:r w:rsidR="00A97B8F" w:rsidRPr="000769E8">
        <w:t>их оформления формы документов;</w:t>
      </w:r>
    </w:p>
    <w:p w:rsidR="00A97B8F" w:rsidRPr="000769E8" w:rsidRDefault="00C72AA4" w:rsidP="00A97B8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769E8">
        <w:t>д) правила документооборота, в 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документооборота;</w:t>
      </w:r>
    </w:p>
    <w:p w:rsidR="00A97B8F" w:rsidRPr="000769E8" w:rsidRDefault="00C72AA4" w:rsidP="00A97B8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769E8">
        <w:t>е) порядок организации и обеспечения (осуществления) внутреннего финансового контроля;</w:t>
      </w:r>
    </w:p>
    <w:p w:rsidR="00A97B8F" w:rsidRPr="000769E8" w:rsidRDefault="00C72AA4" w:rsidP="00A97B8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769E8">
        <w:t>ж) порядок признания в бухгалтерском учете и раскрытия в бухгалтерской (финансовой) отчетности событий после отчетной даты;</w:t>
      </w:r>
    </w:p>
    <w:p w:rsidR="00C72AA4" w:rsidRPr="000769E8" w:rsidRDefault="00C72AA4" w:rsidP="00A97B8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769E8">
        <w:t>з) иные способы ведения бухгалтерского учета, необходимые для организации ведения бухгалтерского учета и формирования бухгалтерской (финансовой) отчетности субъектом учета.</w:t>
      </w:r>
    </w:p>
    <w:p w:rsidR="00C72AA4" w:rsidRPr="000769E8" w:rsidRDefault="00C72AA4" w:rsidP="00C72AA4">
      <w:pPr>
        <w:autoSpaceDE w:val="0"/>
        <w:autoSpaceDN w:val="0"/>
        <w:adjustRightInd w:val="0"/>
        <w:spacing w:before="280" w:line="360" w:lineRule="auto"/>
        <w:ind w:firstLine="540"/>
        <w:jc w:val="both"/>
      </w:pPr>
      <w:r w:rsidRPr="000769E8">
        <w:lastRenderedPageBreak/>
        <w:t>Основные положения учетной политики и (или) копии документов учетной политики подлежат публичному раскрытию на официальном сайте в информационно-телекоммуникационной сети "Интернет".</w:t>
      </w:r>
    </w:p>
    <w:p w:rsidR="005A3FCC" w:rsidRPr="000769E8" w:rsidRDefault="005A3FCC" w:rsidP="005A3FCC">
      <w:pPr>
        <w:spacing w:line="360" w:lineRule="auto"/>
        <w:ind w:firstLine="539"/>
        <w:jc w:val="both"/>
        <w:rPr>
          <w:bCs/>
        </w:rPr>
      </w:pPr>
      <w:r w:rsidRPr="000769E8">
        <w:rPr>
          <w:bCs/>
        </w:rPr>
        <w:t>По результатам инвентаризации, проведенной в целях подтверждения показателей годовой бюджетной отчетности, расхождений не выявлено (приказ от 25.11.2022 №366 «Об инвентаризации имущества»).</w:t>
      </w:r>
    </w:p>
    <w:p w:rsidR="00C50294" w:rsidRPr="000769E8" w:rsidRDefault="00C50294" w:rsidP="003E7A92">
      <w:pPr>
        <w:spacing w:line="360" w:lineRule="auto"/>
        <w:ind w:firstLine="539"/>
        <w:jc w:val="both"/>
      </w:pPr>
      <w:r w:rsidRPr="000769E8">
        <w:t xml:space="preserve">Директор </w:t>
      </w:r>
      <w:r w:rsidR="00D71E72" w:rsidRPr="000769E8">
        <w:t xml:space="preserve">                                                                               </w:t>
      </w:r>
      <w:r w:rsidRPr="000769E8">
        <w:t xml:space="preserve">                             </w:t>
      </w:r>
      <w:r w:rsidR="00123ABB" w:rsidRPr="000769E8">
        <w:t>С.В.</w:t>
      </w:r>
      <w:r w:rsidR="006A7DCC" w:rsidRPr="000769E8">
        <w:t xml:space="preserve"> </w:t>
      </w:r>
      <w:r w:rsidR="00123ABB" w:rsidRPr="000769E8">
        <w:t>Дубенцева</w:t>
      </w:r>
    </w:p>
    <w:p w:rsidR="00654736" w:rsidRDefault="003E37F3" w:rsidP="003E394E">
      <w:pPr>
        <w:spacing w:line="360" w:lineRule="auto"/>
        <w:ind w:firstLine="539"/>
        <w:jc w:val="both"/>
      </w:pPr>
      <w:r w:rsidRPr="000769E8">
        <w:t>Г</w:t>
      </w:r>
      <w:r w:rsidR="00D71E72" w:rsidRPr="000769E8">
        <w:t xml:space="preserve">лавный бухгалтер                                                                                           </w:t>
      </w:r>
      <w:r w:rsidR="008053FC" w:rsidRPr="000769E8">
        <w:t xml:space="preserve">  </w:t>
      </w:r>
      <w:r w:rsidR="00152582" w:rsidRPr="000769E8">
        <w:t>И.О. Столяр</w:t>
      </w:r>
    </w:p>
    <w:sectPr w:rsidR="00654736" w:rsidSect="008E2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956"/>
    <w:multiLevelType w:val="hybridMultilevel"/>
    <w:tmpl w:val="BB485228"/>
    <w:lvl w:ilvl="0" w:tplc="1BFC1B0A">
      <w:start w:val="2"/>
      <w:numFmt w:val="decimal"/>
      <w:lvlText w:val="%1)"/>
      <w:lvlJc w:val="left"/>
      <w:pPr>
        <w:tabs>
          <w:tab w:val="num" w:pos="2712"/>
        </w:tabs>
        <w:ind w:left="27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7"/>
        </w:tabs>
        <w:ind w:left="3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7"/>
        </w:tabs>
        <w:ind w:left="4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7"/>
        </w:tabs>
        <w:ind w:left="4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7"/>
        </w:tabs>
        <w:ind w:left="5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7"/>
        </w:tabs>
        <w:ind w:left="6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7"/>
        </w:tabs>
        <w:ind w:left="7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7"/>
        </w:tabs>
        <w:ind w:left="7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7"/>
        </w:tabs>
        <w:ind w:left="8457" w:hanging="180"/>
      </w:pPr>
    </w:lvl>
  </w:abstractNum>
  <w:abstractNum w:abstractNumId="1">
    <w:nsid w:val="412D3037"/>
    <w:multiLevelType w:val="hybridMultilevel"/>
    <w:tmpl w:val="E9AAA416"/>
    <w:lvl w:ilvl="0" w:tplc="9C48F9A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84"/>
    <w:rsid w:val="00002A5F"/>
    <w:rsid w:val="000169F8"/>
    <w:rsid w:val="00027099"/>
    <w:rsid w:val="00027DF0"/>
    <w:rsid w:val="000304B2"/>
    <w:rsid w:val="0003208E"/>
    <w:rsid w:val="00040829"/>
    <w:rsid w:val="0004217A"/>
    <w:rsid w:val="00043CBF"/>
    <w:rsid w:val="0004409B"/>
    <w:rsid w:val="00044B15"/>
    <w:rsid w:val="000465DA"/>
    <w:rsid w:val="00046F45"/>
    <w:rsid w:val="0005334A"/>
    <w:rsid w:val="00053600"/>
    <w:rsid w:val="0005562B"/>
    <w:rsid w:val="00060C67"/>
    <w:rsid w:val="00060D6D"/>
    <w:rsid w:val="00061A4C"/>
    <w:rsid w:val="0006687F"/>
    <w:rsid w:val="00067567"/>
    <w:rsid w:val="0007029D"/>
    <w:rsid w:val="000750D3"/>
    <w:rsid w:val="0007600B"/>
    <w:rsid w:val="000769E8"/>
    <w:rsid w:val="000924CE"/>
    <w:rsid w:val="000964C7"/>
    <w:rsid w:val="000A34F3"/>
    <w:rsid w:val="000A3E46"/>
    <w:rsid w:val="000A5901"/>
    <w:rsid w:val="000A71EF"/>
    <w:rsid w:val="000B603E"/>
    <w:rsid w:val="000D495B"/>
    <w:rsid w:val="000D6B03"/>
    <w:rsid w:val="000D7E82"/>
    <w:rsid w:val="000E3E77"/>
    <w:rsid w:val="000E449F"/>
    <w:rsid w:val="000E44AC"/>
    <w:rsid w:val="000F3CFD"/>
    <w:rsid w:val="001013F4"/>
    <w:rsid w:val="00103E14"/>
    <w:rsid w:val="00123ABB"/>
    <w:rsid w:val="001419CF"/>
    <w:rsid w:val="00143C5F"/>
    <w:rsid w:val="00144671"/>
    <w:rsid w:val="0014497A"/>
    <w:rsid w:val="0014644B"/>
    <w:rsid w:val="00152582"/>
    <w:rsid w:val="00164992"/>
    <w:rsid w:val="00172786"/>
    <w:rsid w:val="001811EE"/>
    <w:rsid w:val="0018182A"/>
    <w:rsid w:val="001931E3"/>
    <w:rsid w:val="00193432"/>
    <w:rsid w:val="001A337F"/>
    <w:rsid w:val="001A3A80"/>
    <w:rsid w:val="001B16C3"/>
    <w:rsid w:val="001B4A03"/>
    <w:rsid w:val="001C050F"/>
    <w:rsid w:val="001C3755"/>
    <w:rsid w:val="001D3180"/>
    <w:rsid w:val="001E6167"/>
    <w:rsid w:val="002003BE"/>
    <w:rsid w:val="00214496"/>
    <w:rsid w:val="00214E94"/>
    <w:rsid w:val="0022322F"/>
    <w:rsid w:val="002309A4"/>
    <w:rsid w:val="00230A5F"/>
    <w:rsid w:val="00232C28"/>
    <w:rsid w:val="00234DD4"/>
    <w:rsid w:val="002432F2"/>
    <w:rsid w:val="00243DBF"/>
    <w:rsid w:val="00244FD8"/>
    <w:rsid w:val="00256641"/>
    <w:rsid w:val="00256F77"/>
    <w:rsid w:val="002723EE"/>
    <w:rsid w:val="002772B1"/>
    <w:rsid w:val="002949C2"/>
    <w:rsid w:val="00296CA6"/>
    <w:rsid w:val="002A0458"/>
    <w:rsid w:val="002A1CB4"/>
    <w:rsid w:val="002A49C9"/>
    <w:rsid w:val="002A4D2C"/>
    <w:rsid w:val="002B0F36"/>
    <w:rsid w:val="002B3A0B"/>
    <w:rsid w:val="002B6A0B"/>
    <w:rsid w:val="002C137B"/>
    <w:rsid w:val="002C6D4D"/>
    <w:rsid w:val="002D5849"/>
    <w:rsid w:val="002D7985"/>
    <w:rsid w:val="002E0F3D"/>
    <w:rsid w:val="002E11C4"/>
    <w:rsid w:val="002E3487"/>
    <w:rsid w:val="002E703C"/>
    <w:rsid w:val="002F5DD0"/>
    <w:rsid w:val="003064AC"/>
    <w:rsid w:val="00306897"/>
    <w:rsid w:val="00312611"/>
    <w:rsid w:val="003221D2"/>
    <w:rsid w:val="003221E4"/>
    <w:rsid w:val="00322FA6"/>
    <w:rsid w:val="00332BDF"/>
    <w:rsid w:val="003358C2"/>
    <w:rsid w:val="00340ADF"/>
    <w:rsid w:val="00341A79"/>
    <w:rsid w:val="003423D8"/>
    <w:rsid w:val="00344078"/>
    <w:rsid w:val="00345C13"/>
    <w:rsid w:val="00360010"/>
    <w:rsid w:val="00363CE5"/>
    <w:rsid w:val="00364D41"/>
    <w:rsid w:val="003651E2"/>
    <w:rsid w:val="003702CC"/>
    <w:rsid w:val="00385DD8"/>
    <w:rsid w:val="003A71CF"/>
    <w:rsid w:val="003B7509"/>
    <w:rsid w:val="003C1D09"/>
    <w:rsid w:val="003C2A9A"/>
    <w:rsid w:val="003C3142"/>
    <w:rsid w:val="003E0C41"/>
    <w:rsid w:val="003E1D0F"/>
    <w:rsid w:val="003E37F3"/>
    <w:rsid w:val="003E394E"/>
    <w:rsid w:val="003E43A8"/>
    <w:rsid w:val="003E5E6E"/>
    <w:rsid w:val="003E7743"/>
    <w:rsid w:val="003E7A92"/>
    <w:rsid w:val="003E7F60"/>
    <w:rsid w:val="003F35E1"/>
    <w:rsid w:val="00402078"/>
    <w:rsid w:val="00402BE8"/>
    <w:rsid w:val="00404864"/>
    <w:rsid w:val="00407371"/>
    <w:rsid w:val="004156AA"/>
    <w:rsid w:val="00420EE1"/>
    <w:rsid w:val="00435681"/>
    <w:rsid w:val="004452A4"/>
    <w:rsid w:val="00450200"/>
    <w:rsid w:val="00464A04"/>
    <w:rsid w:val="0047132C"/>
    <w:rsid w:val="00485BCB"/>
    <w:rsid w:val="0048725C"/>
    <w:rsid w:val="00495315"/>
    <w:rsid w:val="004A2432"/>
    <w:rsid w:val="004A35F5"/>
    <w:rsid w:val="004B357A"/>
    <w:rsid w:val="004B40A4"/>
    <w:rsid w:val="004C4676"/>
    <w:rsid w:val="004D1398"/>
    <w:rsid w:val="004E61F6"/>
    <w:rsid w:val="004E7D80"/>
    <w:rsid w:val="004F4AF7"/>
    <w:rsid w:val="00500AE1"/>
    <w:rsid w:val="0050255A"/>
    <w:rsid w:val="005033E0"/>
    <w:rsid w:val="005074A5"/>
    <w:rsid w:val="00515BC5"/>
    <w:rsid w:val="00517BE1"/>
    <w:rsid w:val="0052010A"/>
    <w:rsid w:val="00524907"/>
    <w:rsid w:val="00524F18"/>
    <w:rsid w:val="00530188"/>
    <w:rsid w:val="00535ED2"/>
    <w:rsid w:val="00556BC6"/>
    <w:rsid w:val="005606DF"/>
    <w:rsid w:val="005655C8"/>
    <w:rsid w:val="005725D9"/>
    <w:rsid w:val="005741CE"/>
    <w:rsid w:val="005762FE"/>
    <w:rsid w:val="005800B6"/>
    <w:rsid w:val="0058103F"/>
    <w:rsid w:val="0058276E"/>
    <w:rsid w:val="00590C99"/>
    <w:rsid w:val="00596D30"/>
    <w:rsid w:val="00596EE6"/>
    <w:rsid w:val="005A3FCC"/>
    <w:rsid w:val="005A6684"/>
    <w:rsid w:val="005A69AF"/>
    <w:rsid w:val="005A7A9C"/>
    <w:rsid w:val="005C129D"/>
    <w:rsid w:val="005C245B"/>
    <w:rsid w:val="005D3406"/>
    <w:rsid w:val="005D68AA"/>
    <w:rsid w:val="005E3006"/>
    <w:rsid w:val="005E37B8"/>
    <w:rsid w:val="005E4FE3"/>
    <w:rsid w:val="005F076E"/>
    <w:rsid w:val="005F6D1C"/>
    <w:rsid w:val="006014FD"/>
    <w:rsid w:val="00610556"/>
    <w:rsid w:val="006119E8"/>
    <w:rsid w:val="00611C97"/>
    <w:rsid w:val="00622D73"/>
    <w:rsid w:val="00630EE0"/>
    <w:rsid w:val="00654736"/>
    <w:rsid w:val="00657D61"/>
    <w:rsid w:val="006821AE"/>
    <w:rsid w:val="006949F2"/>
    <w:rsid w:val="006A0BFD"/>
    <w:rsid w:val="006A50FC"/>
    <w:rsid w:val="006A70B4"/>
    <w:rsid w:val="006A7DCC"/>
    <w:rsid w:val="006B18C0"/>
    <w:rsid w:val="006B63E9"/>
    <w:rsid w:val="006C095B"/>
    <w:rsid w:val="006C63C9"/>
    <w:rsid w:val="006F4179"/>
    <w:rsid w:val="00710A6F"/>
    <w:rsid w:val="00710B6C"/>
    <w:rsid w:val="00713D42"/>
    <w:rsid w:val="007148BB"/>
    <w:rsid w:val="0072584A"/>
    <w:rsid w:val="007265F8"/>
    <w:rsid w:val="00733FB7"/>
    <w:rsid w:val="00736B6C"/>
    <w:rsid w:val="00737D58"/>
    <w:rsid w:val="007455CF"/>
    <w:rsid w:val="00747ED6"/>
    <w:rsid w:val="00750A41"/>
    <w:rsid w:val="00757763"/>
    <w:rsid w:val="0077078A"/>
    <w:rsid w:val="00795944"/>
    <w:rsid w:val="00797B49"/>
    <w:rsid w:val="007A2603"/>
    <w:rsid w:val="007A42F8"/>
    <w:rsid w:val="007A6544"/>
    <w:rsid w:val="007B258A"/>
    <w:rsid w:val="007B6EB2"/>
    <w:rsid w:val="007C4A64"/>
    <w:rsid w:val="007D027C"/>
    <w:rsid w:val="007D403D"/>
    <w:rsid w:val="007E0B23"/>
    <w:rsid w:val="007E3F7B"/>
    <w:rsid w:val="007E5603"/>
    <w:rsid w:val="007E643C"/>
    <w:rsid w:val="007F0A41"/>
    <w:rsid w:val="007F0A69"/>
    <w:rsid w:val="007F664B"/>
    <w:rsid w:val="007F7400"/>
    <w:rsid w:val="00801AD5"/>
    <w:rsid w:val="008053FC"/>
    <w:rsid w:val="008410F1"/>
    <w:rsid w:val="00841FC8"/>
    <w:rsid w:val="00845629"/>
    <w:rsid w:val="00847F34"/>
    <w:rsid w:val="008515B8"/>
    <w:rsid w:val="00854EBB"/>
    <w:rsid w:val="008553CD"/>
    <w:rsid w:val="00857ABB"/>
    <w:rsid w:val="00862876"/>
    <w:rsid w:val="0087320E"/>
    <w:rsid w:val="00873F96"/>
    <w:rsid w:val="008B24EB"/>
    <w:rsid w:val="008B3227"/>
    <w:rsid w:val="008B37BC"/>
    <w:rsid w:val="008B4FA4"/>
    <w:rsid w:val="008B7DE1"/>
    <w:rsid w:val="008C15B9"/>
    <w:rsid w:val="008C1656"/>
    <w:rsid w:val="008C3B91"/>
    <w:rsid w:val="008D0803"/>
    <w:rsid w:val="008D0D79"/>
    <w:rsid w:val="008D4940"/>
    <w:rsid w:val="008E2706"/>
    <w:rsid w:val="008E2BCD"/>
    <w:rsid w:val="008E341A"/>
    <w:rsid w:val="008E423A"/>
    <w:rsid w:val="008E48D7"/>
    <w:rsid w:val="008F130B"/>
    <w:rsid w:val="00902616"/>
    <w:rsid w:val="00905BA3"/>
    <w:rsid w:val="00910F8A"/>
    <w:rsid w:val="00923DCC"/>
    <w:rsid w:val="009331C5"/>
    <w:rsid w:val="00942B05"/>
    <w:rsid w:val="00944B4B"/>
    <w:rsid w:val="00944D14"/>
    <w:rsid w:val="009456CD"/>
    <w:rsid w:val="009637F4"/>
    <w:rsid w:val="009814ED"/>
    <w:rsid w:val="00993355"/>
    <w:rsid w:val="00996FB2"/>
    <w:rsid w:val="009A4A65"/>
    <w:rsid w:val="009A6F02"/>
    <w:rsid w:val="009B2E50"/>
    <w:rsid w:val="009B5131"/>
    <w:rsid w:val="009C7724"/>
    <w:rsid w:val="009D0630"/>
    <w:rsid w:val="009D3F27"/>
    <w:rsid w:val="009D4331"/>
    <w:rsid w:val="009D543D"/>
    <w:rsid w:val="009E4976"/>
    <w:rsid w:val="009E565F"/>
    <w:rsid w:val="009F456B"/>
    <w:rsid w:val="009F5B06"/>
    <w:rsid w:val="00A019EE"/>
    <w:rsid w:val="00A029A8"/>
    <w:rsid w:val="00A06365"/>
    <w:rsid w:val="00A110E4"/>
    <w:rsid w:val="00A12413"/>
    <w:rsid w:val="00A142BE"/>
    <w:rsid w:val="00A14C96"/>
    <w:rsid w:val="00A22B6B"/>
    <w:rsid w:val="00A350CD"/>
    <w:rsid w:val="00A4376A"/>
    <w:rsid w:val="00A50AF4"/>
    <w:rsid w:val="00A63AE6"/>
    <w:rsid w:val="00A70254"/>
    <w:rsid w:val="00A76454"/>
    <w:rsid w:val="00A81836"/>
    <w:rsid w:val="00A82722"/>
    <w:rsid w:val="00A97B8F"/>
    <w:rsid w:val="00AA2B3E"/>
    <w:rsid w:val="00AA3BCC"/>
    <w:rsid w:val="00AA5FE0"/>
    <w:rsid w:val="00AA667D"/>
    <w:rsid w:val="00AF1CFC"/>
    <w:rsid w:val="00B05CA0"/>
    <w:rsid w:val="00B06C1B"/>
    <w:rsid w:val="00B0701B"/>
    <w:rsid w:val="00B11C6A"/>
    <w:rsid w:val="00B14047"/>
    <w:rsid w:val="00B147BD"/>
    <w:rsid w:val="00B151DB"/>
    <w:rsid w:val="00B2510F"/>
    <w:rsid w:val="00B25681"/>
    <w:rsid w:val="00B25A85"/>
    <w:rsid w:val="00B32FCF"/>
    <w:rsid w:val="00B40714"/>
    <w:rsid w:val="00B45860"/>
    <w:rsid w:val="00B50003"/>
    <w:rsid w:val="00B51CB5"/>
    <w:rsid w:val="00B73057"/>
    <w:rsid w:val="00B91F7E"/>
    <w:rsid w:val="00B95B07"/>
    <w:rsid w:val="00BA1046"/>
    <w:rsid w:val="00BB4128"/>
    <w:rsid w:val="00BB7874"/>
    <w:rsid w:val="00BC0FB0"/>
    <w:rsid w:val="00BC1BB4"/>
    <w:rsid w:val="00BC2DF6"/>
    <w:rsid w:val="00BC62A2"/>
    <w:rsid w:val="00BD42E8"/>
    <w:rsid w:val="00BD71DB"/>
    <w:rsid w:val="00BE4A0A"/>
    <w:rsid w:val="00BF7CA4"/>
    <w:rsid w:val="00C1665F"/>
    <w:rsid w:val="00C25BAB"/>
    <w:rsid w:val="00C260A0"/>
    <w:rsid w:val="00C305A7"/>
    <w:rsid w:val="00C35574"/>
    <w:rsid w:val="00C41113"/>
    <w:rsid w:val="00C45C6E"/>
    <w:rsid w:val="00C50294"/>
    <w:rsid w:val="00C51293"/>
    <w:rsid w:val="00C60F47"/>
    <w:rsid w:val="00C61042"/>
    <w:rsid w:val="00C61317"/>
    <w:rsid w:val="00C63CB9"/>
    <w:rsid w:val="00C72AA4"/>
    <w:rsid w:val="00C84691"/>
    <w:rsid w:val="00C8474C"/>
    <w:rsid w:val="00C8688E"/>
    <w:rsid w:val="00C93F8B"/>
    <w:rsid w:val="00CA35D9"/>
    <w:rsid w:val="00CB7559"/>
    <w:rsid w:val="00CC1508"/>
    <w:rsid w:val="00CD2550"/>
    <w:rsid w:val="00CD4C25"/>
    <w:rsid w:val="00CD7FB5"/>
    <w:rsid w:val="00CE0179"/>
    <w:rsid w:val="00CF7F87"/>
    <w:rsid w:val="00D01C23"/>
    <w:rsid w:val="00D07758"/>
    <w:rsid w:val="00D22665"/>
    <w:rsid w:val="00D26131"/>
    <w:rsid w:val="00D30497"/>
    <w:rsid w:val="00D319F9"/>
    <w:rsid w:val="00D33E13"/>
    <w:rsid w:val="00D54DB1"/>
    <w:rsid w:val="00D54DFF"/>
    <w:rsid w:val="00D55847"/>
    <w:rsid w:val="00D56F05"/>
    <w:rsid w:val="00D63DE8"/>
    <w:rsid w:val="00D670BC"/>
    <w:rsid w:val="00D71B4C"/>
    <w:rsid w:val="00D71E72"/>
    <w:rsid w:val="00D80859"/>
    <w:rsid w:val="00D91BC5"/>
    <w:rsid w:val="00D9354D"/>
    <w:rsid w:val="00D9781B"/>
    <w:rsid w:val="00DA061B"/>
    <w:rsid w:val="00DB3193"/>
    <w:rsid w:val="00DC16AC"/>
    <w:rsid w:val="00DC7C16"/>
    <w:rsid w:val="00DD37C3"/>
    <w:rsid w:val="00DD4865"/>
    <w:rsid w:val="00DE706D"/>
    <w:rsid w:val="00DF4302"/>
    <w:rsid w:val="00E05684"/>
    <w:rsid w:val="00E146AB"/>
    <w:rsid w:val="00E2432A"/>
    <w:rsid w:val="00E30049"/>
    <w:rsid w:val="00E41481"/>
    <w:rsid w:val="00E42B35"/>
    <w:rsid w:val="00E437AD"/>
    <w:rsid w:val="00E6536A"/>
    <w:rsid w:val="00E762CC"/>
    <w:rsid w:val="00E80E47"/>
    <w:rsid w:val="00E845E1"/>
    <w:rsid w:val="00E90BAD"/>
    <w:rsid w:val="00E934D3"/>
    <w:rsid w:val="00E94D9D"/>
    <w:rsid w:val="00EA5A6E"/>
    <w:rsid w:val="00ED20A6"/>
    <w:rsid w:val="00EF0BB4"/>
    <w:rsid w:val="00EF51B1"/>
    <w:rsid w:val="00EF6DB1"/>
    <w:rsid w:val="00F07954"/>
    <w:rsid w:val="00F1215D"/>
    <w:rsid w:val="00F208BC"/>
    <w:rsid w:val="00F25CA3"/>
    <w:rsid w:val="00F261D8"/>
    <w:rsid w:val="00F3030B"/>
    <w:rsid w:val="00F408FA"/>
    <w:rsid w:val="00F46B6E"/>
    <w:rsid w:val="00F52DD1"/>
    <w:rsid w:val="00F53853"/>
    <w:rsid w:val="00F61EF6"/>
    <w:rsid w:val="00F65B95"/>
    <w:rsid w:val="00F6631E"/>
    <w:rsid w:val="00F664B1"/>
    <w:rsid w:val="00F77326"/>
    <w:rsid w:val="00F777AE"/>
    <w:rsid w:val="00F876DE"/>
    <w:rsid w:val="00F90445"/>
    <w:rsid w:val="00F9455D"/>
    <w:rsid w:val="00F96381"/>
    <w:rsid w:val="00F9714F"/>
    <w:rsid w:val="00FA48B2"/>
    <w:rsid w:val="00FB1099"/>
    <w:rsid w:val="00FC36C1"/>
    <w:rsid w:val="00FC51B1"/>
    <w:rsid w:val="00FC7835"/>
    <w:rsid w:val="00FD219A"/>
    <w:rsid w:val="00FD516F"/>
    <w:rsid w:val="00FE13EC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2616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7B258A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1">
    <w:name w:val="1CStyle21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8">
    <w:name w:val="1CStyle8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5">
    <w:name w:val="1CStyle25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4">
    <w:name w:val="1CStyle14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">
    <w:name w:val="1CStyle18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0">
    <w:name w:val="1CStyle10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0">
    <w:name w:val="1CStyle20"/>
    <w:rsid w:val="007B258A"/>
    <w:pPr>
      <w:spacing w:after="200" w:line="276" w:lineRule="auto"/>
      <w:ind w:left="20"/>
      <w:jc w:val="center"/>
    </w:pPr>
    <w:rPr>
      <w:rFonts w:ascii="Arial" w:hAnsi="Arial"/>
      <w:sz w:val="16"/>
      <w:szCs w:val="22"/>
    </w:rPr>
  </w:style>
  <w:style w:type="paragraph" w:customStyle="1" w:styleId="1CStyle15">
    <w:name w:val="1CStyle15"/>
    <w:rsid w:val="007B258A"/>
    <w:pPr>
      <w:spacing w:after="200" w:line="276" w:lineRule="auto"/>
      <w:ind w:left="20"/>
      <w:jc w:val="right"/>
    </w:pPr>
    <w:rPr>
      <w:rFonts w:ascii="Arial" w:hAnsi="Arial"/>
      <w:sz w:val="16"/>
      <w:szCs w:val="22"/>
    </w:rPr>
  </w:style>
  <w:style w:type="paragraph" w:customStyle="1" w:styleId="1CStyle13">
    <w:name w:val="1CStyle13"/>
    <w:rsid w:val="007B258A"/>
    <w:pPr>
      <w:spacing w:after="200" w:line="276" w:lineRule="auto"/>
      <w:ind w:left="20"/>
      <w:jc w:val="right"/>
    </w:pPr>
    <w:rPr>
      <w:rFonts w:ascii="Arial" w:hAnsi="Arial"/>
      <w:sz w:val="16"/>
      <w:szCs w:val="22"/>
    </w:rPr>
  </w:style>
  <w:style w:type="paragraph" w:customStyle="1" w:styleId="1CStyle7">
    <w:name w:val="1CStyle7"/>
    <w:rsid w:val="007B258A"/>
    <w:pPr>
      <w:spacing w:after="200" w:line="276" w:lineRule="auto"/>
      <w:ind w:left="20"/>
      <w:jc w:val="right"/>
    </w:pPr>
    <w:rPr>
      <w:rFonts w:ascii="Arial" w:hAnsi="Arial"/>
      <w:sz w:val="16"/>
      <w:szCs w:val="22"/>
    </w:rPr>
  </w:style>
  <w:style w:type="paragraph" w:customStyle="1" w:styleId="ConsPlusNonformat">
    <w:name w:val="ConsPlusNonformat"/>
    <w:rsid w:val="002003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D4C25"/>
    <w:pPr>
      <w:jc w:val="both"/>
    </w:pPr>
  </w:style>
  <w:style w:type="character" w:customStyle="1" w:styleId="a5">
    <w:name w:val="Основной текст Знак"/>
    <w:basedOn w:val="a0"/>
    <w:link w:val="a4"/>
    <w:rsid w:val="00CD4C25"/>
    <w:rPr>
      <w:sz w:val="24"/>
      <w:szCs w:val="24"/>
    </w:rPr>
  </w:style>
  <w:style w:type="paragraph" w:customStyle="1" w:styleId="ConsPlusNormal">
    <w:name w:val="ConsPlusNormal"/>
    <w:rsid w:val="000440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0440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409B"/>
    <w:rPr>
      <w:sz w:val="24"/>
      <w:szCs w:val="24"/>
    </w:rPr>
  </w:style>
  <w:style w:type="paragraph" w:styleId="a6">
    <w:name w:val="Body Text Indent"/>
    <w:basedOn w:val="a"/>
    <w:link w:val="a7"/>
    <w:rsid w:val="000440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4409B"/>
    <w:rPr>
      <w:sz w:val="24"/>
      <w:szCs w:val="24"/>
    </w:rPr>
  </w:style>
  <w:style w:type="paragraph" w:customStyle="1" w:styleId="ConsPlusTitle">
    <w:name w:val="ConsPlusTitle"/>
    <w:rsid w:val="000440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link w:val="a9"/>
    <w:rsid w:val="0004409B"/>
    <w:pPr>
      <w:spacing w:before="100" w:beforeAutospacing="1" w:after="100" w:afterAutospacing="1"/>
    </w:pPr>
  </w:style>
  <w:style w:type="character" w:customStyle="1" w:styleId="a9">
    <w:name w:val="Обычный (веб) Знак"/>
    <w:basedOn w:val="a0"/>
    <w:link w:val="a8"/>
    <w:rsid w:val="000440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2616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7B258A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1">
    <w:name w:val="1CStyle21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8">
    <w:name w:val="1CStyle8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5">
    <w:name w:val="1CStyle25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4">
    <w:name w:val="1CStyle14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">
    <w:name w:val="1CStyle18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0">
    <w:name w:val="1CStyle10"/>
    <w:rsid w:val="007B258A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0">
    <w:name w:val="1CStyle20"/>
    <w:rsid w:val="007B258A"/>
    <w:pPr>
      <w:spacing w:after="200" w:line="276" w:lineRule="auto"/>
      <w:ind w:left="20"/>
      <w:jc w:val="center"/>
    </w:pPr>
    <w:rPr>
      <w:rFonts w:ascii="Arial" w:hAnsi="Arial"/>
      <w:sz w:val="16"/>
      <w:szCs w:val="22"/>
    </w:rPr>
  </w:style>
  <w:style w:type="paragraph" w:customStyle="1" w:styleId="1CStyle15">
    <w:name w:val="1CStyle15"/>
    <w:rsid w:val="007B258A"/>
    <w:pPr>
      <w:spacing w:after="200" w:line="276" w:lineRule="auto"/>
      <w:ind w:left="20"/>
      <w:jc w:val="right"/>
    </w:pPr>
    <w:rPr>
      <w:rFonts w:ascii="Arial" w:hAnsi="Arial"/>
      <w:sz w:val="16"/>
      <w:szCs w:val="22"/>
    </w:rPr>
  </w:style>
  <w:style w:type="paragraph" w:customStyle="1" w:styleId="1CStyle13">
    <w:name w:val="1CStyle13"/>
    <w:rsid w:val="007B258A"/>
    <w:pPr>
      <w:spacing w:after="200" w:line="276" w:lineRule="auto"/>
      <w:ind w:left="20"/>
      <w:jc w:val="right"/>
    </w:pPr>
    <w:rPr>
      <w:rFonts w:ascii="Arial" w:hAnsi="Arial"/>
      <w:sz w:val="16"/>
      <w:szCs w:val="22"/>
    </w:rPr>
  </w:style>
  <w:style w:type="paragraph" w:customStyle="1" w:styleId="1CStyle7">
    <w:name w:val="1CStyle7"/>
    <w:rsid w:val="007B258A"/>
    <w:pPr>
      <w:spacing w:after="200" w:line="276" w:lineRule="auto"/>
      <w:ind w:left="20"/>
      <w:jc w:val="right"/>
    </w:pPr>
    <w:rPr>
      <w:rFonts w:ascii="Arial" w:hAnsi="Arial"/>
      <w:sz w:val="16"/>
      <w:szCs w:val="22"/>
    </w:rPr>
  </w:style>
  <w:style w:type="paragraph" w:customStyle="1" w:styleId="ConsPlusNonformat">
    <w:name w:val="ConsPlusNonformat"/>
    <w:rsid w:val="002003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D4C25"/>
    <w:pPr>
      <w:jc w:val="both"/>
    </w:pPr>
  </w:style>
  <w:style w:type="character" w:customStyle="1" w:styleId="a5">
    <w:name w:val="Основной текст Знак"/>
    <w:basedOn w:val="a0"/>
    <w:link w:val="a4"/>
    <w:rsid w:val="00CD4C25"/>
    <w:rPr>
      <w:sz w:val="24"/>
      <w:szCs w:val="24"/>
    </w:rPr>
  </w:style>
  <w:style w:type="paragraph" w:customStyle="1" w:styleId="ConsPlusNormal">
    <w:name w:val="ConsPlusNormal"/>
    <w:rsid w:val="000440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0440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409B"/>
    <w:rPr>
      <w:sz w:val="24"/>
      <w:szCs w:val="24"/>
    </w:rPr>
  </w:style>
  <w:style w:type="paragraph" w:styleId="a6">
    <w:name w:val="Body Text Indent"/>
    <w:basedOn w:val="a"/>
    <w:link w:val="a7"/>
    <w:rsid w:val="000440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4409B"/>
    <w:rPr>
      <w:sz w:val="24"/>
      <w:szCs w:val="24"/>
    </w:rPr>
  </w:style>
  <w:style w:type="paragraph" w:customStyle="1" w:styleId="ConsPlusTitle">
    <w:name w:val="ConsPlusTitle"/>
    <w:rsid w:val="000440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link w:val="a9"/>
    <w:rsid w:val="0004409B"/>
    <w:pPr>
      <w:spacing w:before="100" w:beforeAutospacing="1" w:after="100" w:afterAutospacing="1"/>
    </w:pPr>
  </w:style>
  <w:style w:type="character" w:customStyle="1" w:styleId="a9">
    <w:name w:val="Обычный (веб) Знак"/>
    <w:basedOn w:val="a0"/>
    <w:link w:val="a8"/>
    <w:rsid w:val="00044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761B-5EA4-4402-9324-4CE62E19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 доходов и расходов по городскому бюджету, средствам, полученных от предпринимательской и иной приносящей доход деятельности, финансовой помощи областного бюджета за 2006 год исполнена на 100%</vt:lpstr>
    </vt:vector>
  </TitlesOfParts>
  <Company>Upravlenie</Company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доходов и расходов по городскому бюджету, средствам, полученных от предпринимательской и иной приносящей доход деятельности, финансовой помощи областного бюджета за 2006 год исполнена на 100%</dc:title>
  <dc:creator>Marina</dc:creator>
  <cp:lastModifiedBy>Полутова Ирина</cp:lastModifiedBy>
  <cp:revision>2</cp:revision>
  <cp:lastPrinted>2018-01-31T08:02:00Z</cp:lastPrinted>
  <dcterms:created xsi:type="dcterms:W3CDTF">2024-03-25T07:42:00Z</dcterms:created>
  <dcterms:modified xsi:type="dcterms:W3CDTF">2024-03-25T07:42:00Z</dcterms:modified>
</cp:coreProperties>
</file>